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84" w:rsidRDefault="006F2C84" w:rsidP="006F2C84">
      <w:pPr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6F2C84" w:rsidRDefault="006F2C84" w:rsidP="00EE3204">
      <w:pPr>
        <w:tabs>
          <w:tab w:val="left" w:pos="8364"/>
        </w:tabs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 w:rsidR="00002EA5">
        <w:rPr>
          <w:rFonts w:ascii="Arial" w:eastAsia="Times New Roman" w:hAnsi="Arial" w:cs="Arial"/>
          <w:sz w:val="20"/>
          <w:szCs w:val="20"/>
          <w:lang w:eastAsia="pl-PL"/>
        </w:rPr>
        <w:t xml:space="preserve"> nr 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903A3" w:rsidRDefault="006F2C84" w:rsidP="006F2C84">
      <w:pPr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1903A3">
        <w:rPr>
          <w:rFonts w:ascii="Arial" w:eastAsia="Times New Roman" w:hAnsi="Arial" w:cs="Arial"/>
          <w:sz w:val="20"/>
          <w:szCs w:val="20"/>
          <w:lang w:eastAsia="pl-PL"/>
        </w:rPr>
        <w:t xml:space="preserve">uchwały Zarządu Województwa </w:t>
      </w:r>
      <w:r w:rsidR="001903A3">
        <w:rPr>
          <w:rFonts w:ascii="Arial" w:eastAsia="Times New Roman" w:hAnsi="Arial" w:cs="Arial"/>
          <w:sz w:val="20"/>
          <w:szCs w:val="20"/>
          <w:lang w:eastAsia="pl-PL"/>
        </w:rPr>
        <w:br/>
        <w:t>Świętokrzyskiego nr</w:t>
      </w:r>
      <w:r w:rsidR="006266E0">
        <w:rPr>
          <w:rFonts w:ascii="Arial" w:eastAsia="Times New Roman" w:hAnsi="Arial" w:cs="Arial"/>
          <w:sz w:val="20"/>
          <w:szCs w:val="20"/>
          <w:lang w:eastAsia="pl-PL"/>
        </w:rPr>
        <w:t xml:space="preserve"> 871/15</w:t>
      </w:r>
      <w:r w:rsidR="001903A3">
        <w:rPr>
          <w:rFonts w:ascii="Arial" w:eastAsia="Times New Roman" w:hAnsi="Arial" w:cs="Arial"/>
          <w:sz w:val="20"/>
          <w:szCs w:val="20"/>
          <w:lang w:eastAsia="pl-PL"/>
        </w:rPr>
        <w:t xml:space="preserve"> z dnia</w:t>
      </w:r>
      <w:r w:rsidR="006266E0">
        <w:rPr>
          <w:rFonts w:ascii="Arial" w:eastAsia="Times New Roman" w:hAnsi="Arial" w:cs="Arial"/>
          <w:sz w:val="20"/>
          <w:szCs w:val="20"/>
          <w:lang w:eastAsia="pl-PL"/>
        </w:rPr>
        <w:t xml:space="preserve"> 18 listopada 2015r.</w:t>
      </w:r>
    </w:p>
    <w:p w:rsidR="001903A3" w:rsidRDefault="001903A3" w:rsidP="006F2C84">
      <w:pPr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2C84" w:rsidRDefault="001903A3" w:rsidP="006F2C84">
      <w:pPr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D42A7" w:rsidRDefault="008D42A7" w:rsidP="006F2C84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8D42A7" w:rsidRDefault="008D42A7" w:rsidP="006F2C84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8D42A7" w:rsidRDefault="008D42A7" w:rsidP="006F2C84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8D42A7" w:rsidRDefault="008D42A7" w:rsidP="006F2C84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8D42A7" w:rsidRDefault="008D42A7" w:rsidP="006F2C84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REGULAMIN NABORU KANDYDATÓW NA EKSPERTÓW I PROWADZENIA WYKAZU KANDYDATÓW NA EKSPERTÓW UCZESTNICZĄCYCH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br/>
        <w:t xml:space="preserve">W PROCESIE WYBORU STRATEGII ROZWOJU LOKALNEGO KIEROWANEGO PRZEZ SPOŁECZNOŚĆ </w:t>
      </w: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lang w:eastAsia="ar-SA"/>
        </w:rPr>
      </w:pPr>
    </w:p>
    <w:p w:rsidR="006F2C84" w:rsidRDefault="006F2C84" w:rsidP="008D42A7">
      <w:pPr>
        <w:tabs>
          <w:tab w:val="right" w:leader="dot" w:pos="9204"/>
        </w:tabs>
        <w:suppressAutoHyphens/>
        <w:spacing w:before="0" w:line="360" w:lineRule="auto"/>
        <w:jc w:val="left"/>
        <w:rPr>
          <w:rFonts w:ascii="Arial" w:eastAsia="Times New Roman" w:hAnsi="Arial" w:cs="Arial"/>
          <w:noProof/>
          <w:lang w:eastAsia="pl-PL"/>
        </w:rPr>
      </w:pPr>
      <w:r>
        <w:rPr>
          <w:rFonts w:ascii="Arial" w:eastAsia="Times New Roman" w:hAnsi="Arial" w:cs="Arial"/>
          <w:lang w:val="en-US" w:eastAsia="ar-SA"/>
        </w:rPr>
        <w:fldChar w:fldCharType="begin"/>
      </w:r>
      <w:r>
        <w:rPr>
          <w:rFonts w:ascii="Arial" w:eastAsia="Times New Roman" w:hAnsi="Arial" w:cs="Arial"/>
          <w:lang w:val="en-US" w:eastAsia="ar-SA"/>
        </w:rPr>
        <w:instrText xml:space="preserve"> TOC \o "1-3" \h \z \u </w:instrText>
      </w:r>
      <w:r>
        <w:rPr>
          <w:rFonts w:ascii="Arial" w:eastAsia="Times New Roman" w:hAnsi="Arial" w:cs="Arial"/>
          <w:lang w:val="en-US" w:eastAsia="ar-SA"/>
        </w:rPr>
        <w:fldChar w:fldCharType="separate"/>
      </w:r>
      <w:hyperlink r:id="rId7" w:anchor="_Toc420307917" w:history="1">
        <w:r>
          <w:rPr>
            <w:rStyle w:val="Hipercze"/>
            <w:rFonts w:ascii="Arial" w:eastAsia="Times New Roman" w:hAnsi="Arial" w:cs="Arial"/>
            <w:noProof/>
            <w:sz w:val="24"/>
            <w:szCs w:val="24"/>
            <w:lang w:val="en-US" w:eastAsia="ar-SA"/>
          </w:rPr>
          <w:t>Rozdział 1 Postanowienia ogólne</w:t>
        </w:r>
        <w:r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ab/>
        </w:r>
        <w:r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begin"/>
        </w:r>
        <w:r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instrText xml:space="preserve"> PAGEREF _Toc420307917 \h </w:instrText>
        </w:r>
        <w:r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</w:r>
        <w:r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separate"/>
        </w:r>
        <w:r w:rsidR="006266E0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>2</w:t>
        </w:r>
        <w:r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end"/>
        </w:r>
      </w:hyperlink>
    </w:p>
    <w:p w:rsidR="006F2C84" w:rsidRDefault="00A53400" w:rsidP="008D42A7">
      <w:pPr>
        <w:tabs>
          <w:tab w:val="right" w:leader="dot" w:pos="9204"/>
        </w:tabs>
        <w:suppressAutoHyphens/>
        <w:spacing w:before="0" w:line="360" w:lineRule="auto"/>
        <w:jc w:val="left"/>
        <w:rPr>
          <w:rFonts w:ascii="Arial" w:eastAsia="Times New Roman" w:hAnsi="Arial" w:cs="Arial"/>
          <w:noProof/>
          <w:lang w:eastAsia="pl-PL"/>
        </w:rPr>
      </w:pPr>
      <w:hyperlink r:id="rId8" w:anchor="_Toc420307918" w:history="1">
        <w:r w:rsidR="006F2C84">
          <w:rPr>
            <w:rStyle w:val="Hipercze"/>
            <w:rFonts w:ascii="Arial" w:eastAsia="Times New Roman" w:hAnsi="Arial" w:cs="Arial"/>
            <w:noProof/>
            <w:sz w:val="24"/>
            <w:szCs w:val="24"/>
            <w:lang w:val="en-US" w:eastAsia="ar-SA"/>
          </w:rPr>
          <w:t>Rozdział 2 Eksperci</w: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ab/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begin"/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instrText xml:space="preserve"> PAGEREF _Toc420307918 \h </w:instrTex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separate"/>
        </w:r>
        <w:r w:rsidR="006266E0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>3</w: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end"/>
        </w:r>
      </w:hyperlink>
    </w:p>
    <w:p w:rsidR="006F2C84" w:rsidRDefault="00A53400" w:rsidP="008D42A7">
      <w:pPr>
        <w:tabs>
          <w:tab w:val="right" w:leader="dot" w:pos="9204"/>
        </w:tabs>
        <w:suppressAutoHyphens/>
        <w:spacing w:before="0" w:line="360" w:lineRule="auto"/>
        <w:jc w:val="left"/>
        <w:rPr>
          <w:rFonts w:ascii="Arial" w:eastAsia="Times New Roman" w:hAnsi="Arial" w:cs="Arial"/>
          <w:noProof/>
          <w:lang w:eastAsia="pl-PL"/>
        </w:rPr>
      </w:pPr>
      <w:hyperlink r:id="rId9" w:anchor="_Toc420307919" w:history="1">
        <w:r w:rsidR="006F2C84">
          <w:rPr>
            <w:rStyle w:val="Hipercze"/>
            <w:rFonts w:ascii="Arial" w:eastAsia="Times New Roman" w:hAnsi="Arial" w:cs="Arial"/>
            <w:noProof/>
            <w:sz w:val="24"/>
            <w:szCs w:val="24"/>
            <w:lang w:val="en-US" w:eastAsia="ar-SA"/>
          </w:rPr>
          <w:t>Rozdział 3 Komisja Kwalifikacyjna</w: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ab/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begin"/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instrText xml:space="preserve"> PAGEREF _Toc420307919 \h </w:instrTex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separate"/>
        </w:r>
        <w:r w:rsidR="006266E0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>4</w: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end"/>
        </w:r>
      </w:hyperlink>
    </w:p>
    <w:p w:rsidR="006F2C84" w:rsidRDefault="00A53400" w:rsidP="008D42A7">
      <w:pPr>
        <w:tabs>
          <w:tab w:val="right" w:leader="dot" w:pos="9204"/>
        </w:tabs>
        <w:suppressAutoHyphens/>
        <w:spacing w:before="0" w:line="360" w:lineRule="auto"/>
        <w:jc w:val="left"/>
        <w:rPr>
          <w:rFonts w:ascii="Arial" w:eastAsia="Times New Roman" w:hAnsi="Arial" w:cs="Arial"/>
          <w:noProof/>
          <w:lang w:eastAsia="pl-PL"/>
        </w:rPr>
      </w:pPr>
      <w:hyperlink r:id="rId10" w:anchor="_Toc420307920" w:history="1">
        <w:r w:rsidR="006F2C84">
          <w:rPr>
            <w:rStyle w:val="Hipercze"/>
            <w:rFonts w:ascii="Arial" w:eastAsia="Times New Roman" w:hAnsi="Arial" w:cs="Arial"/>
            <w:noProof/>
            <w:sz w:val="24"/>
            <w:szCs w:val="24"/>
            <w:lang w:val="en-US" w:eastAsia="ar-SA"/>
          </w:rPr>
          <w:t>Rozdział 4 Procedura ogłaszania naboru kandydatów na ekspertów</w: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ab/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begin"/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instrText xml:space="preserve"> PAGEREF _Toc420307920 \h </w:instrTex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separate"/>
        </w:r>
        <w:r w:rsidR="006266E0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>5</w: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end"/>
        </w:r>
      </w:hyperlink>
    </w:p>
    <w:p w:rsidR="006F2C84" w:rsidRDefault="00A53400" w:rsidP="008D42A7">
      <w:pPr>
        <w:tabs>
          <w:tab w:val="right" w:leader="dot" w:pos="9204"/>
        </w:tabs>
        <w:suppressAutoHyphens/>
        <w:spacing w:before="0" w:line="360" w:lineRule="auto"/>
        <w:jc w:val="left"/>
        <w:rPr>
          <w:rFonts w:ascii="Arial" w:eastAsia="Times New Roman" w:hAnsi="Arial" w:cs="Arial"/>
          <w:noProof/>
          <w:lang w:eastAsia="pl-PL"/>
        </w:rPr>
      </w:pPr>
      <w:hyperlink r:id="rId11" w:anchor="_Toc420307921" w:history="1">
        <w:r w:rsidR="006F2C84">
          <w:rPr>
            <w:rStyle w:val="Hipercze"/>
            <w:rFonts w:ascii="Arial" w:eastAsia="Times New Roman" w:hAnsi="Arial" w:cs="Arial"/>
            <w:noProof/>
            <w:sz w:val="24"/>
            <w:szCs w:val="24"/>
            <w:lang w:val="en-US" w:eastAsia="ar-SA"/>
          </w:rPr>
          <w:t>Rozdział 5  Przebieg</w:t>
        </w:r>
        <w:r w:rsidR="006F2C84">
          <w:rPr>
            <w:rStyle w:val="Hipercze"/>
            <w:rFonts w:ascii="Arial" w:eastAsia="Times New Roman" w:hAnsi="Arial" w:cs="Arial"/>
            <w:noProof/>
            <w:spacing w:val="30"/>
            <w:sz w:val="24"/>
            <w:szCs w:val="24"/>
            <w:lang w:val="en-US" w:eastAsia="ar-SA"/>
          </w:rPr>
          <w:t xml:space="preserve"> </w:t>
        </w:r>
        <w:r w:rsidR="006F2C84">
          <w:rPr>
            <w:rStyle w:val="Hipercze"/>
            <w:rFonts w:ascii="Arial" w:eastAsia="Times New Roman" w:hAnsi="Arial" w:cs="Arial"/>
            <w:noProof/>
            <w:sz w:val="24"/>
            <w:szCs w:val="24"/>
            <w:lang w:val="en-US" w:eastAsia="ar-SA"/>
          </w:rPr>
          <w:t>postępowania kwalifikacyjnego na kandydatów na ekspertów</w: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ab/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begin"/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instrText xml:space="preserve"> PAGEREF _Toc420307921 \h </w:instrTex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separate"/>
        </w:r>
        <w:r w:rsidR="006266E0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>6</w: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end"/>
        </w:r>
      </w:hyperlink>
    </w:p>
    <w:p w:rsidR="006F2C84" w:rsidRDefault="00A53400" w:rsidP="008D42A7">
      <w:pPr>
        <w:tabs>
          <w:tab w:val="right" w:leader="dot" w:pos="9204"/>
        </w:tabs>
        <w:suppressAutoHyphens/>
        <w:spacing w:before="0" w:line="360" w:lineRule="auto"/>
        <w:jc w:val="left"/>
        <w:rPr>
          <w:rFonts w:ascii="Arial" w:eastAsia="Times New Roman" w:hAnsi="Arial" w:cs="Arial"/>
          <w:noProof/>
          <w:lang w:eastAsia="pl-PL"/>
        </w:rPr>
      </w:pPr>
      <w:hyperlink r:id="rId12" w:anchor="_Toc420307922" w:history="1">
        <w:r w:rsidR="006F2C84">
          <w:rPr>
            <w:rStyle w:val="Hipercze"/>
            <w:rFonts w:ascii="Arial" w:eastAsia="Times New Roman" w:hAnsi="Arial" w:cs="Arial"/>
            <w:noProof/>
            <w:sz w:val="24"/>
            <w:szCs w:val="24"/>
            <w:lang w:val="en-US" w:eastAsia="ar-SA"/>
          </w:rPr>
          <w:t>Rozdział 6  Zmiany w Wykazie kandydatów na ekspertów</w: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ab/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begin"/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instrText xml:space="preserve"> PAGEREF _Toc420307922 \h </w:instrTex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separate"/>
        </w:r>
        <w:r w:rsidR="006266E0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t>8</w:t>
        </w:r>
        <w:r w:rsidR="006F2C84">
          <w:rPr>
            <w:rStyle w:val="Hipercze"/>
            <w:rFonts w:ascii="Arial" w:eastAsia="Times New Roman" w:hAnsi="Arial" w:cs="Arial"/>
            <w:noProof/>
            <w:webHidden/>
            <w:sz w:val="24"/>
            <w:szCs w:val="24"/>
            <w:lang w:val="en-US" w:eastAsia="ar-SA"/>
          </w:rPr>
          <w:fldChar w:fldCharType="end"/>
        </w:r>
      </w:hyperlink>
    </w:p>
    <w:p w:rsidR="006F2C84" w:rsidRDefault="006F2C84" w:rsidP="008D42A7">
      <w:pPr>
        <w:suppressAutoHyphens/>
        <w:spacing w:before="0" w:line="360" w:lineRule="auto"/>
        <w:jc w:val="left"/>
        <w:rPr>
          <w:rFonts w:ascii="Times New Roman" w:eastAsia="Times New Roman" w:hAnsi="Times New Roman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b/>
          <w:bCs/>
          <w:lang w:val="en-US" w:eastAsia="ar-SA"/>
        </w:rPr>
        <w:fldChar w:fldCharType="end"/>
      </w:r>
    </w:p>
    <w:p w:rsidR="006F2C84" w:rsidRPr="00002EA5" w:rsidRDefault="006F2C84" w:rsidP="006F2C84">
      <w:pPr>
        <w:keepNext/>
        <w:tabs>
          <w:tab w:val="num" w:pos="432"/>
        </w:tabs>
        <w:suppressAutoHyphens/>
        <w:spacing w:before="0" w:line="276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br w:type="page"/>
      </w:r>
      <w:bookmarkStart w:id="1" w:name="_Toc420307917"/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lastRenderedPageBreak/>
        <w:t>Rozdział 1</w:t>
      </w:r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br/>
        <w:t>Postanowienia ogólne</w:t>
      </w:r>
      <w:bookmarkEnd w:id="1"/>
    </w:p>
    <w:p w:rsidR="006F2C84" w:rsidRDefault="006F2C84" w:rsidP="006F2C84">
      <w:pPr>
        <w:suppressAutoHyphens/>
        <w:spacing w:before="0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1</w:t>
      </w:r>
    </w:p>
    <w:p w:rsidR="006F2C84" w:rsidRDefault="006F2C84" w:rsidP="006F2C84">
      <w:pPr>
        <w:suppressAutoHyphens/>
        <w:spacing w:before="0" w:line="276" w:lineRule="auto"/>
        <w:ind w:left="360"/>
        <w:rPr>
          <w:rFonts w:ascii="Arial" w:eastAsia="Times New Roman" w:hAnsi="Arial" w:cs="Arial"/>
          <w:bCs/>
          <w:lang w:eastAsia="ar-SA"/>
        </w:rPr>
      </w:pPr>
    </w:p>
    <w:p w:rsidR="006F2C84" w:rsidRDefault="006F2C84" w:rsidP="006F2C84">
      <w:pPr>
        <w:numPr>
          <w:ilvl w:val="0"/>
          <w:numId w:val="1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Nabór na kandydatów prowadzony jest na podstawie niniejszego regulaminu oraz </w:t>
      </w:r>
      <w:r>
        <w:rPr>
          <w:rFonts w:ascii="Arial" w:eastAsia="Times New Roman" w:hAnsi="Arial" w:cs="Arial"/>
          <w:bCs/>
          <w:lang w:eastAsia="ar-SA"/>
        </w:rPr>
        <w:br/>
        <w:t>w oparciu o przepisy:</w:t>
      </w:r>
    </w:p>
    <w:p w:rsidR="006F2C84" w:rsidRDefault="006F2C84" w:rsidP="006F2C84">
      <w:pPr>
        <w:suppressAutoHyphens/>
        <w:spacing w:before="0" w:line="276" w:lineRule="auto"/>
        <w:ind w:left="36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1) art. 33 ust. 3 Rozporządzenia Parlamentu Europejskiego i Rady (UE) nr 1303/2013 </w:t>
      </w:r>
      <w:r>
        <w:rPr>
          <w:rFonts w:ascii="Arial" w:eastAsia="Times New Roman" w:hAnsi="Arial" w:cs="Arial"/>
          <w:bCs/>
          <w:lang w:eastAsia="ar-SA"/>
        </w:rPr>
        <w:br/>
        <w:t>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 Europejskiego Funduszu Morskiego i Rybackiego oraz uchylającym rozporządzenie Rady (WE) nr 1083/2006 (Dz. Urz. UE L 347 z 20.12.2013, str. 320, z późn. zm.);</w:t>
      </w:r>
    </w:p>
    <w:p w:rsidR="006F2C84" w:rsidRDefault="006F2C84" w:rsidP="006F2C84">
      <w:pPr>
        <w:suppressAutoHyphens/>
        <w:spacing w:before="0" w:line="276" w:lineRule="auto"/>
        <w:ind w:left="36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2) art. 5 ust. 5 ustawy z dnia 20 lutego 2015 r. o wspieraniu rozwoju obszarów wiejskich </w:t>
      </w:r>
      <w:r>
        <w:rPr>
          <w:rFonts w:ascii="Arial" w:eastAsia="Times New Roman" w:hAnsi="Arial" w:cs="Arial"/>
          <w:bCs/>
          <w:lang w:eastAsia="ar-SA"/>
        </w:rPr>
        <w:br/>
        <w:t xml:space="preserve">z udziałem środków Europejskiego Funduszu Rolnego na rzecz Rozwoju Obszarów Wiejskich w ramach Programu Rozwoju Obszarów Wiejskich na lata 2014–2020 </w:t>
      </w:r>
      <w:r>
        <w:rPr>
          <w:rFonts w:ascii="Arial" w:eastAsia="Times New Roman" w:hAnsi="Arial" w:cs="Arial"/>
          <w:bCs/>
          <w:lang w:eastAsia="ar-SA"/>
        </w:rPr>
        <w:br/>
        <w:t>(Dz. U. poz.349);</w:t>
      </w:r>
    </w:p>
    <w:p w:rsidR="006F2C84" w:rsidRDefault="006F2C84" w:rsidP="006F2C84">
      <w:pPr>
        <w:suppressAutoHyphens/>
        <w:spacing w:before="0" w:line="276" w:lineRule="auto"/>
        <w:ind w:left="36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3) art. 2 ust. 2 pkt 2 lit. a) i art. 3 ust. 2 i 3 ustawy z dnia 20 lutego 2015 r. o  rozwoju lokalnym z udziałem lokalnej społeczności (Dz. U. poz.378);</w:t>
      </w:r>
    </w:p>
    <w:p w:rsidR="006F2C84" w:rsidRDefault="006F2C84" w:rsidP="006F2C84">
      <w:pPr>
        <w:suppressAutoHyphens/>
        <w:spacing w:before="0" w:line="276" w:lineRule="auto"/>
        <w:ind w:left="36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4) art. 49 ustawy z dnia 11 lipca 2014 r. o zasadach realizacji programów w zakresie polityki spójności finansowanych w perspektywie finansowej 2014-2020 (Dz. U. poz.1146 </w:t>
      </w:r>
      <w:r>
        <w:rPr>
          <w:rFonts w:ascii="Arial" w:eastAsia="Times New Roman" w:hAnsi="Arial" w:cs="Arial"/>
          <w:bCs/>
          <w:lang w:eastAsia="ar-SA"/>
        </w:rPr>
        <w:br/>
        <w:t>z późn. zm.);</w:t>
      </w:r>
    </w:p>
    <w:p w:rsidR="006F2C84" w:rsidRDefault="006F2C84" w:rsidP="006F2C84">
      <w:pPr>
        <w:suppressAutoHyphens/>
        <w:spacing w:before="0" w:line="276" w:lineRule="auto"/>
        <w:ind w:left="36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5) art. 24 § 1 i 2 ustawy z dnia 14 czerwca 1960 r. - Kodeks Postępowania Administracyjnego (Dz.U. z 2013 r. poz. 267, z późn. zm.)</w:t>
      </w:r>
    </w:p>
    <w:p w:rsidR="006F2C84" w:rsidRDefault="006F2C84" w:rsidP="006F2C84">
      <w:pPr>
        <w:numPr>
          <w:ilvl w:val="0"/>
          <w:numId w:val="1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Instytucja Pośrednicząca – Zarząd Województwa Świętokrzyskiego w Programie Rozwoju Obszarów Wiejskich na lata 2014-2020 (IP) prowadzi Wykaz kandydatów na ekspertów zgodnie z art. 49 ustawy z dnia 11 lipca 2014 r. o zasadach realizacji programów w zakresie polityki spójności finansowanych w perspektywie finansowej 2014-2020. Zadania IP w tym zakresie wykonuje Świętokrzyskie Biuro Rozwoju Regionalnego w Kielcach (ŚBRR)</w:t>
      </w:r>
    </w:p>
    <w:p w:rsidR="006F2C84" w:rsidRDefault="006F2C84" w:rsidP="006F2C84">
      <w:pPr>
        <w:numPr>
          <w:ilvl w:val="0"/>
          <w:numId w:val="1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Ilekroć w regulaminie jest mowa o „działaniu LEADER” to należy przez to rozumieć Wsparcie dla rozwoju lokalnego w ramach inicjatywy LEADER (RLKS – rozwój lokalny kierowany przez społeczność).</w:t>
      </w:r>
    </w:p>
    <w:p w:rsidR="006F2C84" w:rsidRDefault="006F2C84" w:rsidP="006F2C84">
      <w:pPr>
        <w:numPr>
          <w:ilvl w:val="0"/>
          <w:numId w:val="1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Ilekroć w regulaminie jest mowa o „IP” to należy przez to rozumieć ŚBRR.</w:t>
      </w:r>
    </w:p>
    <w:p w:rsidR="006F2C84" w:rsidRDefault="006F2C84" w:rsidP="006F2C84">
      <w:pPr>
        <w:numPr>
          <w:ilvl w:val="0"/>
          <w:numId w:val="1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Użyte w regulaminie pojęcie „ekspertów” oznacza osoby, o których mowa w art. 49 ust. 1 ustawy o zasadach realizacji programów w zakresie polityki spójności finansowanych </w:t>
      </w:r>
      <w:r>
        <w:rPr>
          <w:rFonts w:ascii="Arial" w:eastAsia="Times New Roman" w:hAnsi="Arial" w:cs="Arial"/>
          <w:bCs/>
          <w:lang w:eastAsia="ar-SA"/>
        </w:rPr>
        <w:br/>
        <w:t xml:space="preserve">w perspektywie finansowej 2014-2020, uczestniczące w procesie wyboru strategii rozwoju lokalnego kierowanego przez społeczność (LSR) złożonych w ramach konkursu. </w:t>
      </w:r>
    </w:p>
    <w:p w:rsidR="006F2C84" w:rsidRDefault="006F2C84" w:rsidP="006F2C84">
      <w:pPr>
        <w:numPr>
          <w:ilvl w:val="0"/>
          <w:numId w:val="1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Za organizację i przeprowadzenie naboru na kandydatów na ekspertów odpowiedzialna  jest IP.</w:t>
      </w:r>
    </w:p>
    <w:p w:rsidR="006F2C84" w:rsidRDefault="006F2C84" w:rsidP="006F2C84">
      <w:pPr>
        <w:numPr>
          <w:ilvl w:val="0"/>
          <w:numId w:val="1"/>
        </w:numPr>
        <w:suppressAutoHyphens/>
        <w:spacing w:before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W</w:t>
      </w:r>
      <w:r>
        <w:rPr>
          <w:rFonts w:ascii="Arial" w:eastAsia="Times New Roman" w:hAnsi="Arial" w:cs="Arial"/>
          <w:bCs/>
          <w:lang w:eastAsia="ar-SA"/>
        </w:rPr>
        <w:t>eryfikacji zgłoszeń osób ubiegających się o status kandydatów na ekspertów dokonuje Komisja Kwalifikacyjna.</w:t>
      </w:r>
    </w:p>
    <w:p w:rsidR="006F2C84" w:rsidRDefault="006F2C84" w:rsidP="006F2C84">
      <w:pPr>
        <w:suppressAutoHyphens/>
        <w:spacing w:before="0"/>
        <w:ind w:left="360"/>
        <w:rPr>
          <w:rFonts w:ascii="Arial" w:eastAsia="Times New Roman" w:hAnsi="Arial" w:cs="Arial"/>
          <w:bCs/>
          <w:lang w:eastAsia="ar-SA"/>
        </w:rPr>
      </w:pPr>
    </w:p>
    <w:p w:rsidR="006F2C84" w:rsidRDefault="006F2C84" w:rsidP="006F2C84">
      <w:pPr>
        <w:suppressAutoHyphens/>
        <w:spacing w:before="0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F2C84" w:rsidRDefault="006F2C84" w:rsidP="006F2C84">
      <w:pPr>
        <w:suppressAutoHyphens/>
        <w:spacing w:before="0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F2C84" w:rsidRPr="00002EA5" w:rsidRDefault="006F2C84" w:rsidP="006F2C84">
      <w:pPr>
        <w:keepNext/>
        <w:suppressAutoHyphens/>
        <w:spacing w:before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bookmarkStart w:id="2" w:name="_Toc420307918"/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lastRenderedPageBreak/>
        <w:t>Rozdział 2</w:t>
      </w:r>
    </w:p>
    <w:p w:rsidR="006F2C84" w:rsidRPr="00002EA5" w:rsidRDefault="006F2C84" w:rsidP="006F2C84">
      <w:pPr>
        <w:keepNext/>
        <w:suppressAutoHyphens/>
        <w:spacing w:before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Eksperci</w:t>
      </w:r>
      <w:bookmarkEnd w:id="2"/>
    </w:p>
    <w:p w:rsidR="006F2C84" w:rsidRDefault="006F2C84" w:rsidP="006F2C84">
      <w:pPr>
        <w:suppressAutoHyphens/>
        <w:spacing w:before="0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2</w:t>
      </w:r>
    </w:p>
    <w:p w:rsidR="006F2C84" w:rsidRDefault="006F2C84" w:rsidP="006F2C84">
      <w:pPr>
        <w:suppressAutoHyphens/>
        <w:spacing w:before="0"/>
        <w:rPr>
          <w:rFonts w:ascii="Arial" w:eastAsia="Times New Roman" w:hAnsi="Arial" w:cs="Arial"/>
          <w:bCs/>
          <w:i/>
          <w:lang w:eastAsia="ar-SA"/>
        </w:rPr>
      </w:pPr>
    </w:p>
    <w:p w:rsidR="006F2C84" w:rsidRDefault="006F2C84" w:rsidP="006F2C84">
      <w:pPr>
        <w:numPr>
          <w:ilvl w:val="0"/>
          <w:numId w:val="2"/>
        </w:numPr>
        <w:tabs>
          <w:tab w:val="num" w:pos="426"/>
        </w:tabs>
        <w:suppressAutoHyphens/>
        <w:spacing w:before="0" w:line="276" w:lineRule="auto"/>
        <w:ind w:left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Status eksperta uzyskuje kandydat na eksperta, który podpisał z IP umowę dotyczącą udziału w procesie wyboru LSR.</w:t>
      </w:r>
    </w:p>
    <w:p w:rsidR="006F2C84" w:rsidRDefault="006F2C84" w:rsidP="006F2C84">
      <w:pPr>
        <w:numPr>
          <w:ilvl w:val="0"/>
          <w:numId w:val="2"/>
        </w:numPr>
        <w:tabs>
          <w:tab w:val="num" w:pos="426"/>
        </w:tabs>
        <w:suppressAutoHyphens/>
        <w:spacing w:before="0" w:line="276" w:lineRule="auto"/>
        <w:ind w:left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Kandydatem na eksperta może zostać osoba, która spełnia łącznie poniższe warunki:</w:t>
      </w:r>
    </w:p>
    <w:p w:rsidR="006F2C84" w:rsidRDefault="006F2C84" w:rsidP="006F2C84">
      <w:pPr>
        <w:numPr>
          <w:ilvl w:val="0"/>
          <w:numId w:val="3"/>
        </w:numPr>
        <w:tabs>
          <w:tab w:val="clear" w:pos="355"/>
          <w:tab w:val="num" w:pos="993"/>
        </w:tabs>
        <w:suppressAutoHyphens/>
        <w:spacing w:before="0" w:line="276" w:lineRule="auto"/>
        <w:ind w:firstLine="21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korzysta z pełni praw publicznych;</w:t>
      </w:r>
    </w:p>
    <w:p w:rsidR="006F2C84" w:rsidRDefault="006F2C84" w:rsidP="006F2C84">
      <w:pPr>
        <w:numPr>
          <w:ilvl w:val="0"/>
          <w:numId w:val="3"/>
        </w:numPr>
        <w:tabs>
          <w:tab w:val="clear" w:pos="355"/>
          <w:tab w:val="num" w:pos="993"/>
        </w:tabs>
        <w:suppressAutoHyphens/>
        <w:spacing w:before="0" w:line="276" w:lineRule="auto"/>
        <w:ind w:firstLine="21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posiada pełną zdolność do czynności prawnych;</w:t>
      </w:r>
    </w:p>
    <w:p w:rsidR="006F2C84" w:rsidRDefault="006F2C84" w:rsidP="006F2C84">
      <w:pPr>
        <w:numPr>
          <w:ilvl w:val="0"/>
          <w:numId w:val="3"/>
        </w:numPr>
        <w:tabs>
          <w:tab w:val="clear" w:pos="355"/>
          <w:tab w:val="num" w:pos="993"/>
        </w:tabs>
        <w:suppressAutoHyphens/>
        <w:spacing w:before="0" w:line="276" w:lineRule="auto"/>
        <w:ind w:left="993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nie została skazana prawomocnym wyrokiem za przestępstwo umyślne lub </w:t>
      </w:r>
      <w:r>
        <w:rPr>
          <w:rFonts w:ascii="Arial" w:eastAsia="Times New Roman" w:hAnsi="Arial" w:cs="Arial"/>
          <w:lang w:eastAsia="ar-SA"/>
        </w:rPr>
        <w:br/>
        <w:t>za umyślne przestępstwo skarbowe;</w:t>
      </w:r>
    </w:p>
    <w:p w:rsidR="006F2C84" w:rsidRDefault="006F2C84" w:rsidP="006F2C84">
      <w:pPr>
        <w:numPr>
          <w:ilvl w:val="0"/>
          <w:numId w:val="3"/>
        </w:numPr>
        <w:tabs>
          <w:tab w:val="clear" w:pos="355"/>
          <w:tab w:val="num" w:pos="993"/>
        </w:tabs>
        <w:suppressAutoHyphens/>
        <w:spacing w:before="0" w:line="276" w:lineRule="auto"/>
        <w:ind w:left="993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złożyła oświadczenia, pod rygorem odpowiedzialności karnej za składanie fałszywych zeznań, na okoliczności, o których mowa w pkt 1-3; </w:t>
      </w:r>
    </w:p>
    <w:p w:rsidR="006F2C84" w:rsidRDefault="006F2C84" w:rsidP="006F2C84">
      <w:pPr>
        <w:numPr>
          <w:ilvl w:val="0"/>
          <w:numId w:val="3"/>
        </w:numPr>
        <w:tabs>
          <w:tab w:val="clear" w:pos="355"/>
          <w:tab w:val="num" w:pos="993"/>
        </w:tabs>
        <w:suppressAutoHyphens/>
        <w:spacing w:before="0" w:line="276" w:lineRule="auto"/>
        <w:ind w:firstLine="21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posiada wykształcenie wyższe;</w:t>
      </w:r>
    </w:p>
    <w:p w:rsidR="006F2C84" w:rsidRDefault="006F2C84" w:rsidP="006F2C84">
      <w:pPr>
        <w:numPr>
          <w:ilvl w:val="0"/>
          <w:numId w:val="3"/>
        </w:numPr>
        <w:tabs>
          <w:tab w:val="clear" w:pos="355"/>
          <w:tab w:val="num" w:pos="993"/>
        </w:tabs>
        <w:suppressAutoHyphens/>
        <w:spacing w:before="0" w:line="276" w:lineRule="auto"/>
        <w:ind w:left="993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posiada wiedzę, umiejętności, doświadczenie lub wymagane uprawnienia </w:t>
      </w:r>
      <w:r>
        <w:rPr>
          <w:rFonts w:ascii="Arial" w:eastAsia="Times New Roman" w:hAnsi="Arial" w:cs="Arial"/>
          <w:lang w:eastAsia="ar-SA"/>
        </w:rPr>
        <w:br/>
        <w:t xml:space="preserve">w dziedzinie objętej: Programem Rozwoju Obszarów Wiejskich na lata 2007-2013, Programem Rozwoju Obszarów Wiejskich na lata 2014-2020, w szczególności LEADER, Europejskim Funduszem Morskim i Rybackim w zakresie wskazanym </w:t>
      </w:r>
      <w:r>
        <w:rPr>
          <w:rFonts w:ascii="Arial" w:eastAsia="Times New Roman" w:hAnsi="Arial" w:cs="Arial"/>
          <w:lang w:eastAsia="ar-SA"/>
        </w:rPr>
        <w:br/>
        <w:t xml:space="preserve">w art. 3 ust. 1 pkt 4 ustawy z dnia 10 lipca 2015 r. o wspieraniu zrównoważonego rozwoju sektora rybackiego z udziałem Europejskiego Funduszu Morskiego </w:t>
      </w:r>
      <w:r>
        <w:rPr>
          <w:rFonts w:ascii="Arial" w:eastAsia="Times New Roman" w:hAnsi="Arial" w:cs="Arial"/>
          <w:lang w:eastAsia="ar-SA"/>
        </w:rPr>
        <w:br/>
        <w:t>i Rybackiego (Dz.U. poz. 1358);</w:t>
      </w:r>
    </w:p>
    <w:p w:rsidR="006F2C84" w:rsidRDefault="006F2C84" w:rsidP="006F2C84">
      <w:pPr>
        <w:numPr>
          <w:ilvl w:val="0"/>
          <w:numId w:val="3"/>
        </w:numPr>
        <w:tabs>
          <w:tab w:val="clear" w:pos="355"/>
          <w:tab w:val="num" w:pos="993"/>
        </w:tabs>
        <w:suppressAutoHyphens/>
        <w:spacing w:before="0" w:line="276" w:lineRule="auto"/>
        <w:ind w:left="993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posiada wiedzę w zakresie celów i sposobu realizacji Programu Rozwoju Obszarów Wiejskich na lata 2014-2020, w szczególności działania LEADER, Europejskiego Funduszu Morskiego i Rybackiego w zakresie wskazanym w art. 3 ust. 1 pkt 4 ustawy z dnia 10 lipca 2015 r. o wspieraniu zrównoważonego rozwoju sektora rybackiego z udziałem Europejskiego Funduszu Morskiego i Rybackiego; </w:t>
      </w:r>
    </w:p>
    <w:p w:rsidR="006F2C84" w:rsidRDefault="006F2C84" w:rsidP="006F2C84">
      <w:pPr>
        <w:numPr>
          <w:ilvl w:val="0"/>
          <w:numId w:val="3"/>
        </w:numPr>
        <w:tabs>
          <w:tab w:val="clear" w:pos="355"/>
          <w:tab w:val="num" w:pos="993"/>
        </w:tabs>
        <w:suppressAutoHyphens/>
        <w:spacing w:before="0" w:line="276" w:lineRule="auto"/>
        <w:ind w:left="993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spełnia inne warunki, które zostaną określone i wskazane w ogłoszeniu w sprawie możliwości ubiegania się o umieszczenie w Wykazie kandydatów na ekspertów;</w:t>
      </w:r>
    </w:p>
    <w:p w:rsidR="006F2C84" w:rsidRDefault="006F2C84" w:rsidP="006F2C84">
      <w:pPr>
        <w:numPr>
          <w:ilvl w:val="0"/>
          <w:numId w:val="3"/>
        </w:numPr>
        <w:tabs>
          <w:tab w:val="clear" w:pos="355"/>
          <w:tab w:val="num" w:pos="993"/>
        </w:tabs>
        <w:suppressAutoHyphens/>
        <w:spacing w:before="0" w:line="276" w:lineRule="auto"/>
        <w:ind w:left="993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nie pozostaje w stosunku pracy z Urzędem Marszałkowskim Województwa Świętokrzyskiego lub z ŚBRR;</w:t>
      </w:r>
    </w:p>
    <w:p w:rsidR="006F2C84" w:rsidRDefault="006F2C84" w:rsidP="006F2C84">
      <w:pPr>
        <w:numPr>
          <w:ilvl w:val="0"/>
          <w:numId w:val="3"/>
        </w:numPr>
        <w:tabs>
          <w:tab w:val="clear" w:pos="355"/>
          <w:tab w:val="num" w:pos="993"/>
        </w:tabs>
        <w:suppressAutoHyphens/>
        <w:spacing w:before="0" w:line="276" w:lineRule="auto"/>
        <w:ind w:left="993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nie pozostaje w stosunku pracy z Lokalną Grupą Działania biorącą udział </w:t>
      </w:r>
      <w:r>
        <w:rPr>
          <w:rFonts w:ascii="Arial" w:eastAsia="Times New Roman" w:hAnsi="Arial" w:cs="Arial"/>
          <w:lang w:eastAsia="ar-SA"/>
        </w:rPr>
        <w:br/>
        <w:t>w konkursie na wybór LSR w Województwie Świętokrzyskim, nie była zaangażowana w przygotowanie lub opracowanie LSR złożonych w ramach konkursu na wybór LSR w Województwie Świętokrzyskim, nie jest członkiem LGD (oraz nie jest członkiem organów LGD z Województwa Świętokrzyskiego);</w:t>
      </w:r>
    </w:p>
    <w:p w:rsidR="006F2C84" w:rsidRDefault="006F2C84" w:rsidP="006F2C84">
      <w:pPr>
        <w:numPr>
          <w:ilvl w:val="0"/>
          <w:numId w:val="3"/>
        </w:numPr>
        <w:tabs>
          <w:tab w:val="clear" w:pos="355"/>
          <w:tab w:val="num" w:pos="993"/>
        </w:tabs>
        <w:suppressAutoHyphens/>
        <w:spacing w:before="0" w:line="276" w:lineRule="auto"/>
        <w:ind w:left="993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wyraża zgodę na przetwarzanie swoich danych osobowych w procesie tworzenia i prowadzenia wykazu kandydatów na ekspertów, a także na potrzeby udziału w wyborze LSR, zgodnie z treścią Załącznika nr 2 do regulaminu.</w:t>
      </w:r>
    </w:p>
    <w:p w:rsidR="006F2C84" w:rsidRDefault="006F2C84" w:rsidP="006F2C84">
      <w:pPr>
        <w:numPr>
          <w:ilvl w:val="0"/>
          <w:numId w:val="2"/>
        </w:numPr>
        <w:tabs>
          <w:tab w:val="num" w:pos="567"/>
        </w:tabs>
        <w:suppressAutoHyphens/>
        <w:spacing w:before="0" w:line="276" w:lineRule="auto"/>
        <w:ind w:left="567" w:hanging="56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Wykazie kandydatów na ekspertów mogą być umieszczeni wyłącznie kandydaci </w:t>
      </w:r>
      <w:r>
        <w:rPr>
          <w:rFonts w:ascii="Arial" w:eastAsia="Times New Roman" w:hAnsi="Arial" w:cs="Arial"/>
          <w:lang w:eastAsia="ar-SA"/>
        </w:rPr>
        <w:br/>
        <w:t>na ekspertów, którzy uzyskali pozytywny wynik w ramach postępowania kwalifikacyjnego.</w:t>
      </w: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3</w:t>
      </w:r>
    </w:p>
    <w:p w:rsidR="006F2C84" w:rsidRDefault="006F2C84" w:rsidP="006F2C84">
      <w:pPr>
        <w:suppressAutoHyphens/>
        <w:spacing w:before="0" w:line="276" w:lineRule="auto"/>
        <w:rPr>
          <w:rFonts w:ascii="Arial" w:eastAsia="Times New Roman" w:hAnsi="Arial" w:cs="Arial"/>
          <w:lang w:eastAsia="ar-SA"/>
        </w:rPr>
      </w:pPr>
    </w:p>
    <w:p w:rsidR="006F2C84" w:rsidRDefault="006F2C84" w:rsidP="006F2C84">
      <w:pPr>
        <w:numPr>
          <w:ilvl w:val="0"/>
          <w:numId w:val="4"/>
        </w:numPr>
        <w:tabs>
          <w:tab w:val="num" w:pos="426"/>
        </w:tabs>
        <w:suppressAutoHyphens/>
        <w:spacing w:before="0" w:line="276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Ekspert dokonuje oceny LSR złożonych w ramach konkursu zgodnie z Regulaminem konkursu na wybór strategii rozwoju lokalnego kierowanego przez społeczność.</w:t>
      </w:r>
    </w:p>
    <w:p w:rsidR="006F2C84" w:rsidRDefault="006F2C84" w:rsidP="006F2C84">
      <w:pPr>
        <w:numPr>
          <w:ilvl w:val="0"/>
          <w:numId w:val="4"/>
        </w:numPr>
        <w:tabs>
          <w:tab w:val="num" w:pos="426"/>
        </w:tabs>
        <w:suppressAutoHyphens/>
        <w:spacing w:before="0" w:line="276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 wykonywanie czynności w procesie wyboru </w:t>
      </w:r>
      <w:r>
        <w:rPr>
          <w:rFonts w:ascii="Arial" w:eastAsia="Times New Roman" w:hAnsi="Arial" w:cs="Arial"/>
          <w:bCs/>
          <w:lang w:eastAsia="ar-SA"/>
        </w:rPr>
        <w:t>LSR</w:t>
      </w:r>
      <w:r>
        <w:rPr>
          <w:rFonts w:ascii="Arial" w:eastAsia="Times New Roman" w:hAnsi="Arial" w:cs="Arial"/>
          <w:lang w:eastAsia="ar-SA"/>
        </w:rPr>
        <w:t xml:space="preserve"> ekspert otrzymuje wynagrodzenie 200 zł brutto za ocenę jednej LSR.</w:t>
      </w:r>
    </w:p>
    <w:p w:rsidR="006F2C84" w:rsidRDefault="006F2C84" w:rsidP="009007E3">
      <w:pPr>
        <w:numPr>
          <w:ilvl w:val="0"/>
          <w:numId w:val="4"/>
        </w:numPr>
        <w:tabs>
          <w:tab w:val="num" w:pos="426"/>
        </w:tabs>
        <w:suppressAutoHyphens/>
        <w:spacing w:before="0" w:line="276" w:lineRule="auto"/>
        <w:ind w:left="426" w:hanging="426"/>
        <w:rPr>
          <w:rFonts w:ascii="Arial" w:eastAsia="Times New Roman" w:hAnsi="Arial" w:cs="Arial"/>
          <w:lang w:eastAsia="ar-SA"/>
        </w:rPr>
      </w:pPr>
      <w:r w:rsidRPr="00EE3204">
        <w:rPr>
          <w:rFonts w:ascii="Arial" w:eastAsia="Times New Roman" w:hAnsi="Arial" w:cs="Arial"/>
          <w:lang w:eastAsia="ar-SA"/>
        </w:rPr>
        <w:lastRenderedPageBreak/>
        <w:t xml:space="preserve">Udział ekspertów w procesie wyboru LSR odbywa się w ramach prac Komisji ds. wyboru strategii rozwoju lokalnego kierowanego przez społeczność, zwanej dalej Komisją. Zasady pracy komisji określa ustawa </w:t>
      </w:r>
      <w:r w:rsidRPr="00EE3204">
        <w:rPr>
          <w:rFonts w:ascii="Arial" w:eastAsia="Times New Roman" w:hAnsi="Arial" w:cs="Arial"/>
          <w:bCs/>
          <w:lang w:eastAsia="ar-SA"/>
        </w:rPr>
        <w:t xml:space="preserve">z dnia 20 lutego 2015 r. o rozwoju lokalnym </w:t>
      </w:r>
      <w:r w:rsidRPr="00EE3204">
        <w:rPr>
          <w:rFonts w:ascii="Arial" w:eastAsia="Times New Roman" w:hAnsi="Arial" w:cs="Arial"/>
          <w:bCs/>
          <w:lang w:eastAsia="ar-SA"/>
        </w:rPr>
        <w:br/>
        <w:t xml:space="preserve">z udziałem lokalnej społeczności, </w:t>
      </w:r>
      <w:r w:rsidRPr="00EE3204">
        <w:rPr>
          <w:rFonts w:ascii="Arial" w:eastAsia="Times New Roman" w:hAnsi="Arial" w:cs="Arial"/>
          <w:lang w:eastAsia="ar-SA"/>
        </w:rPr>
        <w:t xml:space="preserve">Regulamin konkursu na wybór strategii rozwoju lokalnego kierowanego przez społeczność oraz Regulamin działania komisji </w:t>
      </w:r>
      <w:r w:rsidRPr="00EE3204">
        <w:rPr>
          <w:rFonts w:ascii="Arial" w:eastAsia="Times New Roman" w:hAnsi="Arial" w:cs="Arial"/>
          <w:lang w:eastAsia="ar-SA"/>
        </w:rPr>
        <w:br/>
        <w:t>na wybór strategii rozwoju lokalnego kierowanego przez społeczność.</w:t>
      </w:r>
    </w:p>
    <w:p w:rsidR="00EE3204" w:rsidRDefault="00EE3204" w:rsidP="00EE3204">
      <w:pPr>
        <w:suppressAutoHyphens/>
        <w:spacing w:before="0" w:line="276" w:lineRule="auto"/>
        <w:rPr>
          <w:rFonts w:ascii="Arial" w:eastAsia="Times New Roman" w:hAnsi="Arial" w:cs="Arial"/>
          <w:lang w:eastAsia="ar-SA"/>
        </w:rPr>
      </w:pPr>
    </w:p>
    <w:p w:rsidR="00EE3204" w:rsidRPr="00EE3204" w:rsidRDefault="00EE3204" w:rsidP="00EE3204">
      <w:pPr>
        <w:suppressAutoHyphens/>
        <w:spacing w:before="0" w:line="276" w:lineRule="auto"/>
        <w:rPr>
          <w:rFonts w:ascii="Arial" w:eastAsia="Times New Roman" w:hAnsi="Arial" w:cs="Arial"/>
          <w:lang w:eastAsia="ar-SA"/>
        </w:rPr>
      </w:pPr>
    </w:p>
    <w:p w:rsidR="006F2C84" w:rsidRPr="00002EA5" w:rsidRDefault="006F2C84" w:rsidP="006F2C84">
      <w:pPr>
        <w:keepNext/>
        <w:tabs>
          <w:tab w:val="num" w:pos="432"/>
        </w:tabs>
        <w:suppressAutoHyphens/>
        <w:spacing w:before="0" w:line="276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bookmarkStart w:id="3" w:name="_Toc420307919"/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Rozdział </w:t>
      </w:r>
      <w:bookmarkStart w:id="4" w:name="_Toc408576638"/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3</w:t>
      </w:r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br/>
        <w:t>Komisja Kwalifikacyjna</w:t>
      </w:r>
      <w:bookmarkEnd w:id="3"/>
      <w:bookmarkEnd w:id="4"/>
    </w:p>
    <w:p w:rsidR="006F2C84" w:rsidRDefault="006F2C84" w:rsidP="006F2C84">
      <w:pPr>
        <w:suppressAutoHyphens/>
        <w:spacing w:before="0"/>
        <w:ind w:left="283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4</w:t>
      </w:r>
    </w:p>
    <w:p w:rsidR="006F2C84" w:rsidRDefault="006F2C84" w:rsidP="006F2C84">
      <w:pPr>
        <w:suppressAutoHyphens/>
        <w:spacing w:before="0"/>
        <w:ind w:left="283"/>
        <w:jc w:val="center"/>
        <w:rPr>
          <w:rFonts w:ascii="Arial" w:eastAsia="Times New Roman" w:hAnsi="Arial" w:cs="Arial"/>
          <w:bCs/>
          <w:lang w:eastAsia="ar-SA"/>
        </w:rPr>
      </w:pPr>
    </w:p>
    <w:p w:rsidR="006F2C84" w:rsidRDefault="006F2C84" w:rsidP="006F2C84">
      <w:pPr>
        <w:numPr>
          <w:ilvl w:val="0"/>
          <w:numId w:val="5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Nabór kandydatów na ekspertów przeprowadza Komisja Kwalifikacyjna powoływana przez Dyrektora ŚBRR</w:t>
      </w:r>
      <w:r>
        <w:rPr>
          <w:rFonts w:ascii="Arial" w:eastAsia="Times New Roman" w:hAnsi="Arial" w:cs="Arial"/>
          <w:bCs/>
          <w:lang w:eastAsia="ar-SA"/>
        </w:rPr>
        <w:t>.</w:t>
      </w:r>
    </w:p>
    <w:p w:rsidR="006F2C84" w:rsidRDefault="006F2C84" w:rsidP="006F2C84">
      <w:pPr>
        <w:numPr>
          <w:ilvl w:val="0"/>
          <w:numId w:val="5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Komisja Kwalifikacyjna dokonuje</w:t>
      </w:r>
      <w:r>
        <w:rPr>
          <w:rFonts w:ascii="Arial" w:eastAsia="Times New Roman" w:hAnsi="Arial" w:cs="Arial"/>
          <w:bCs/>
          <w:lang w:eastAsia="ar-SA"/>
        </w:rPr>
        <w:t xml:space="preserve"> weryfikacji zgłoszeń osób ubiegających się o status kandydatów na ekspertów, obejmującej analizę złożonej przez nich dokumentacji, oraz  rozmowę kwalifikacyjną z ww. osobami lub opcjonalnie pisemny test ze znajomości zagadnień związanych z tematyką konkursu na wybór LSR.</w:t>
      </w:r>
    </w:p>
    <w:p w:rsidR="006F2C84" w:rsidRDefault="006F2C84" w:rsidP="006F2C84">
      <w:pPr>
        <w:numPr>
          <w:ilvl w:val="0"/>
          <w:numId w:val="5"/>
        </w:numPr>
        <w:tabs>
          <w:tab w:val="left" w:pos="643"/>
        </w:tabs>
        <w:suppressAutoHyphens/>
        <w:spacing w:before="0" w:line="276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wyniku dokonanej weryfikacji, Komisja Kwalifikacyjna umieszcza wybrane osoby </w:t>
      </w:r>
      <w:r>
        <w:rPr>
          <w:rFonts w:ascii="Arial" w:eastAsia="Times New Roman" w:hAnsi="Arial" w:cs="Arial"/>
          <w:lang w:eastAsia="ar-SA"/>
        </w:rPr>
        <w:br/>
        <w:t>w Wykazie kandydatów na ekspertów.</w:t>
      </w:r>
    </w:p>
    <w:p w:rsidR="006F2C84" w:rsidRDefault="006F2C84" w:rsidP="006F2C84">
      <w:pPr>
        <w:numPr>
          <w:ilvl w:val="0"/>
          <w:numId w:val="5"/>
        </w:numPr>
        <w:tabs>
          <w:tab w:val="left" w:pos="643"/>
        </w:tabs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W przypadku uzyskania negatywnego wyniku przez osobę ubiegającą się o status kandydata na eksperta Komisja Kwalifikacyjna odmawia umieszczenia w Wykazie kandydatów na ekspertów. Pismo informujące o odmowie umieszczenia w Wykazie kandydatów na ekspertów podpisuje Przewodniczący Komisji Kwalifikacyjnej.</w:t>
      </w:r>
    </w:p>
    <w:p w:rsidR="006F2C84" w:rsidRDefault="006F2C84" w:rsidP="006F2C84">
      <w:pPr>
        <w:numPr>
          <w:ilvl w:val="0"/>
          <w:numId w:val="5"/>
        </w:numPr>
        <w:tabs>
          <w:tab w:val="left" w:pos="643"/>
        </w:tabs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Decyzja o odmowie umieszczenia w Wykazie kandydatów na ekspertów jest ostateczna.</w:t>
      </w:r>
    </w:p>
    <w:p w:rsidR="006F2C84" w:rsidRDefault="006F2C84" w:rsidP="006F2C84">
      <w:pPr>
        <w:numPr>
          <w:ilvl w:val="0"/>
          <w:numId w:val="5"/>
        </w:numPr>
        <w:tabs>
          <w:tab w:val="left" w:pos="643"/>
        </w:tabs>
        <w:suppressAutoHyphens/>
        <w:spacing w:before="0" w:line="276" w:lineRule="auto"/>
        <w:rPr>
          <w:rFonts w:ascii="Arial" w:eastAsia="Times New Roman" w:hAnsi="Arial" w:cs="Arial"/>
          <w:shd w:val="clear" w:color="auto" w:fill="00FF00"/>
          <w:lang w:eastAsia="ar-SA"/>
        </w:rPr>
      </w:pPr>
      <w:r>
        <w:rPr>
          <w:rFonts w:ascii="Arial" w:eastAsia="Times New Roman" w:hAnsi="Arial" w:cs="Arial"/>
          <w:lang w:eastAsia="ar-SA"/>
        </w:rPr>
        <w:t>Osoby Umieszczone w Wykazie kandydatów na ekspertów będą mogły zostać wskazane do udziału w Komisji ds. wyboru LSR.</w:t>
      </w: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§ 5</w:t>
      </w:r>
    </w:p>
    <w:p w:rsidR="006F2C84" w:rsidRDefault="006F2C84" w:rsidP="006F2C84">
      <w:pPr>
        <w:suppressAutoHyphens/>
        <w:spacing w:before="0"/>
        <w:ind w:left="360"/>
        <w:rPr>
          <w:rFonts w:ascii="Arial" w:eastAsia="Times New Roman" w:hAnsi="Arial" w:cs="Arial"/>
          <w:lang w:val="en-US" w:eastAsia="ar-SA"/>
        </w:rPr>
      </w:pPr>
    </w:p>
    <w:p w:rsidR="006F2C84" w:rsidRDefault="006F2C84" w:rsidP="006F2C84">
      <w:pPr>
        <w:numPr>
          <w:ilvl w:val="0"/>
          <w:numId w:val="6"/>
        </w:numPr>
        <w:suppressAutoHyphens/>
        <w:spacing w:before="0" w:line="276" w:lineRule="auto"/>
        <w:ind w:left="360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skład Komisji Kwalifikacyjnej wchodzą:</w:t>
      </w:r>
    </w:p>
    <w:p w:rsidR="006F2C84" w:rsidRDefault="006F2C84" w:rsidP="006F2C84">
      <w:pPr>
        <w:numPr>
          <w:ilvl w:val="0"/>
          <w:numId w:val="7"/>
        </w:numPr>
        <w:suppressAutoHyphens/>
        <w:spacing w:before="0" w:line="276" w:lineRule="auto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Przewodniczący Komisji,</w:t>
      </w:r>
    </w:p>
    <w:p w:rsidR="006F2C84" w:rsidRDefault="006F2C84" w:rsidP="006F2C84">
      <w:pPr>
        <w:numPr>
          <w:ilvl w:val="0"/>
          <w:numId w:val="7"/>
        </w:numPr>
        <w:suppressAutoHyphens/>
        <w:spacing w:before="0" w:line="276" w:lineRule="auto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Sekretarz Komisji, </w:t>
      </w:r>
    </w:p>
    <w:p w:rsidR="006F2C84" w:rsidRDefault="006F2C84" w:rsidP="006F2C84">
      <w:pPr>
        <w:numPr>
          <w:ilvl w:val="0"/>
          <w:numId w:val="7"/>
        </w:numPr>
        <w:suppressAutoHyphens/>
        <w:spacing w:before="0" w:line="276" w:lineRule="auto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Członkowie Komisji.</w:t>
      </w:r>
    </w:p>
    <w:p w:rsidR="006F2C84" w:rsidRDefault="006F2C84" w:rsidP="006F2C84">
      <w:pPr>
        <w:numPr>
          <w:ilvl w:val="0"/>
          <w:numId w:val="6"/>
        </w:numPr>
        <w:tabs>
          <w:tab w:val="num" w:pos="284"/>
        </w:tabs>
        <w:suppressAutoHyphens/>
        <w:spacing w:before="0" w:line="276" w:lineRule="auto"/>
        <w:ind w:left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Przewodniczącym Komisji Kwalifikacyjnej jest Dyrektor ŚBRR lub osoba przez niego wyznaczona. </w:t>
      </w:r>
    </w:p>
    <w:p w:rsidR="006F2C84" w:rsidRDefault="006F2C84" w:rsidP="006F2C84">
      <w:pPr>
        <w:numPr>
          <w:ilvl w:val="0"/>
          <w:numId w:val="6"/>
        </w:numPr>
        <w:tabs>
          <w:tab w:val="num" w:pos="284"/>
        </w:tabs>
        <w:suppressAutoHyphens/>
        <w:spacing w:before="0" w:line="276" w:lineRule="auto"/>
        <w:ind w:left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Sekretarzem Komisji Kwalifikacyjnej jest pracownik ŚBRR Biuro PROW.</w:t>
      </w:r>
    </w:p>
    <w:p w:rsidR="006F2C84" w:rsidRDefault="006F2C84" w:rsidP="006F2C84">
      <w:pPr>
        <w:numPr>
          <w:ilvl w:val="0"/>
          <w:numId w:val="6"/>
        </w:numPr>
        <w:tabs>
          <w:tab w:val="num" w:pos="284"/>
        </w:tabs>
        <w:suppressAutoHyphens/>
        <w:spacing w:before="0" w:line="276" w:lineRule="auto"/>
        <w:ind w:left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Członkami Komisji Kwalifikacyjnej są osoby powołane przez Przewodniczącego do udziału </w:t>
      </w:r>
      <w:r>
        <w:rPr>
          <w:rFonts w:ascii="Arial" w:eastAsia="Times New Roman" w:hAnsi="Arial" w:cs="Arial"/>
          <w:lang w:eastAsia="ar-SA"/>
        </w:rPr>
        <w:br/>
        <w:t xml:space="preserve">w posiedzeniach Komisji, które są specjalistami w zakresie Programu Rozwoju Obszarów Wiejskich na lata 2014-2020, </w:t>
      </w:r>
      <w:r>
        <w:rPr>
          <w:rFonts w:ascii="Arial" w:eastAsia="Times New Roman" w:hAnsi="Arial" w:cs="Arial"/>
          <w:bCs/>
          <w:lang w:eastAsia="ar-SA"/>
        </w:rPr>
        <w:t xml:space="preserve">Europejskiego Funduszu Morskiego i Rybackiego </w:t>
      </w:r>
      <w:r>
        <w:rPr>
          <w:rFonts w:ascii="Arial" w:eastAsia="Times New Roman" w:hAnsi="Arial" w:cs="Arial"/>
          <w:bCs/>
          <w:lang w:eastAsia="ar-SA"/>
        </w:rPr>
        <w:br/>
        <w:t>w zakresie wskazanym w art. 3 ust. 1 pkt 4 ustawy z dnia 10 lipca 2015 r. o wspieraniu zrównoważonego rozwoju sektora rybackiego z udziałem Europejskiego Funduszu Morskiego i Rybackiego</w:t>
      </w:r>
      <w:r>
        <w:rPr>
          <w:rFonts w:ascii="Arial" w:eastAsia="Times New Roman" w:hAnsi="Arial" w:cs="Arial"/>
          <w:lang w:eastAsia="ar-SA"/>
        </w:rPr>
        <w:t>.</w:t>
      </w:r>
    </w:p>
    <w:p w:rsidR="006F2C84" w:rsidRDefault="006F2C84" w:rsidP="006F2C84">
      <w:pPr>
        <w:numPr>
          <w:ilvl w:val="0"/>
          <w:numId w:val="6"/>
        </w:numPr>
        <w:tabs>
          <w:tab w:val="num" w:pos="284"/>
        </w:tabs>
        <w:suppressAutoHyphens/>
        <w:spacing w:before="0" w:line="276" w:lineRule="auto"/>
        <w:ind w:left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Skład osobowy Komisji ustala  Przewodniczący Komisji Kwalifikacyjnej.</w:t>
      </w:r>
    </w:p>
    <w:p w:rsidR="006F2C84" w:rsidRDefault="006F2C84" w:rsidP="006F2C84">
      <w:pPr>
        <w:suppressAutoHyphens/>
        <w:spacing w:before="0" w:line="276" w:lineRule="auto"/>
        <w:rPr>
          <w:rFonts w:ascii="Arial" w:eastAsia="Times New Roman" w:hAnsi="Arial" w:cs="Arial"/>
          <w:lang w:eastAsia="ar-SA"/>
        </w:rPr>
      </w:pPr>
    </w:p>
    <w:p w:rsidR="00EE3204" w:rsidRDefault="00EE320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EE3204" w:rsidRDefault="00EE320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8D42A7" w:rsidRDefault="008D42A7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8D42A7" w:rsidRDefault="008D42A7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lastRenderedPageBreak/>
        <w:t>§ 6</w:t>
      </w:r>
    </w:p>
    <w:p w:rsidR="006F2C84" w:rsidRDefault="006F2C84" w:rsidP="006F2C84">
      <w:pPr>
        <w:suppressAutoHyphens/>
        <w:spacing w:before="0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6F2C84" w:rsidRPr="00D21236" w:rsidRDefault="006F2C84" w:rsidP="006F2C84">
      <w:pPr>
        <w:numPr>
          <w:ilvl w:val="0"/>
          <w:numId w:val="8"/>
        </w:numPr>
        <w:tabs>
          <w:tab w:val="num" w:pos="284"/>
        </w:tabs>
        <w:suppressAutoHyphens/>
        <w:spacing w:before="0" w:line="276" w:lineRule="auto"/>
        <w:ind w:left="284" w:hanging="284"/>
        <w:rPr>
          <w:rFonts w:ascii="Arial" w:eastAsia="Times New Roman" w:hAnsi="Arial" w:cs="Arial"/>
          <w:lang w:eastAsia="ar-SA"/>
        </w:rPr>
      </w:pPr>
      <w:r w:rsidRPr="00D21236">
        <w:rPr>
          <w:rFonts w:ascii="Arial" w:eastAsia="Times New Roman" w:hAnsi="Arial" w:cs="Arial"/>
          <w:lang w:eastAsia="ar-SA"/>
        </w:rPr>
        <w:t>Przewodniczący Komisji Kwalifikacyjnej zwołuje posiedzenia Komisji, ustalając ich miejsce oraz termin.</w:t>
      </w:r>
    </w:p>
    <w:p w:rsidR="006F2C84" w:rsidRPr="00D21236" w:rsidRDefault="006F2C84" w:rsidP="006F2C84">
      <w:pPr>
        <w:numPr>
          <w:ilvl w:val="0"/>
          <w:numId w:val="8"/>
        </w:numPr>
        <w:tabs>
          <w:tab w:val="num" w:pos="284"/>
        </w:tabs>
        <w:suppressAutoHyphens/>
        <w:spacing w:before="0" w:line="276" w:lineRule="auto"/>
        <w:ind w:left="284" w:hanging="284"/>
        <w:rPr>
          <w:rFonts w:ascii="Arial" w:eastAsia="Times New Roman" w:hAnsi="Arial" w:cs="Arial"/>
          <w:lang w:eastAsia="ar-SA"/>
        </w:rPr>
      </w:pPr>
      <w:r w:rsidRPr="00D21236">
        <w:rPr>
          <w:rFonts w:ascii="Arial" w:eastAsia="Times New Roman" w:hAnsi="Arial" w:cs="Arial"/>
          <w:lang w:eastAsia="ar-SA"/>
        </w:rPr>
        <w:t xml:space="preserve">Na posiedzeniach Komisji Kwalifikacyjnej przedstawiana jest lista osób ubiegających się </w:t>
      </w:r>
      <w:r w:rsidRPr="00D21236">
        <w:rPr>
          <w:rFonts w:ascii="Arial" w:eastAsia="Times New Roman" w:hAnsi="Arial" w:cs="Arial"/>
          <w:lang w:eastAsia="ar-SA"/>
        </w:rPr>
        <w:br/>
        <w:t>o umieszczenie w Wykazie kandydatów na ekspertów, dokonywana jest analiza złożonej przez nich dokumentacji, a także przeprowadzany jest pisemny egzamin lub opcjonalnie rozmowa kwalifikacyjna.</w:t>
      </w:r>
    </w:p>
    <w:p w:rsidR="006F2C84" w:rsidRPr="00D21236" w:rsidRDefault="006F2C84" w:rsidP="006F2C84">
      <w:pPr>
        <w:numPr>
          <w:ilvl w:val="0"/>
          <w:numId w:val="8"/>
        </w:numPr>
        <w:tabs>
          <w:tab w:val="num" w:pos="284"/>
        </w:tabs>
        <w:suppressAutoHyphens/>
        <w:spacing w:before="0" w:line="276" w:lineRule="auto"/>
        <w:ind w:left="284" w:hanging="284"/>
        <w:rPr>
          <w:rFonts w:ascii="Arial" w:eastAsia="Times New Roman" w:hAnsi="Arial" w:cs="Arial"/>
          <w:lang w:eastAsia="ar-SA"/>
        </w:rPr>
      </w:pPr>
      <w:r w:rsidRPr="00D21236">
        <w:rPr>
          <w:rFonts w:ascii="Arial" w:eastAsia="Times New Roman" w:hAnsi="Arial" w:cs="Arial"/>
          <w:lang w:eastAsia="ar-SA"/>
        </w:rPr>
        <w:t xml:space="preserve">Wszelką korespondencję prowadzoną z osobą ubiegającą się o status kandydata </w:t>
      </w:r>
      <w:r w:rsidRPr="00D21236">
        <w:rPr>
          <w:rFonts w:ascii="Arial" w:eastAsia="Times New Roman" w:hAnsi="Arial" w:cs="Arial"/>
          <w:lang w:eastAsia="ar-SA"/>
        </w:rPr>
        <w:br/>
        <w:t>na eksperta podpisuje Przewodniczący Komisji Kwalifikacyjnej.</w:t>
      </w:r>
    </w:p>
    <w:p w:rsidR="006F2C84" w:rsidRPr="00D21236" w:rsidRDefault="006F2C84" w:rsidP="006F2C84">
      <w:pPr>
        <w:suppressAutoHyphens/>
        <w:spacing w:before="0" w:line="276" w:lineRule="auto"/>
        <w:ind w:left="360"/>
        <w:rPr>
          <w:rFonts w:ascii="Arial" w:eastAsia="Times New Roman" w:hAnsi="Arial" w:cs="Arial"/>
          <w:lang w:eastAsia="ar-SA"/>
        </w:rPr>
      </w:pPr>
    </w:p>
    <w:p w:rsidR="006F2C84" w:rsidRPr="00D21236" w:rsidRDefault="006F2C84" w:rsidP="006F2C84">
      <w:pPr>
        <w:keepNext/>
        <w:tabs>
          <w:tab w:val="num" w:pos="432"/>
        </w:tabs>
        <w:suppressAutoHyphens/>
        <w:spacing w:before="0" w:line="276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spacing w:val="30"/>
          <w:sz w:val="24"/>
          <w:szCs w:val="24"/>
          <w:lang w:eastAsia="ar-SA"/>
        </w:rPr>
      </w:pPr>
      <w:bookmarkStart w:id="5" w:name="_Toc420307920"/>
      <w:r w:rsidRPr="00D2123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Rozdział </w:t>
      </w:r>
      <w:bookmarkStart w:id="6" w:name="_Toc408576640"/>
      <w:r w:rsidRPr="00D2123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4</w:t>
      </w:r>
      <w:r w:rsidRPr="00D21236">
        <w:rPr>
          <w:rFonts w:ascii="Arial" w:eastAsia="Times New Roman" w:hAnsi="Arial" w:cs="Arial"/>
          <w:b/>
          <w:bCs/>
          <w:sz w:val="24"/>
          <w:szCs w:val="24"/>
          <w:lang w:eastAsia="ar-SA"/>
        </w:rPr>
        <w:br/>
        <w:t>Procedura ogłaszania naboru kandydatów na ekspertów</w:t>
      </w:r>
      <w:bookmarkEnd w:id="5"/>
      <w:bookmarkEnd w:id="6"/>
    </w:p>
    <w:p w:rsidR="006F2C84" w:rsidRPr="00D21236" w:rsidRDefault="006F2C84" w:rsidP="006F2C84">
      <w:pPr>
        <w:suppressAutoHyphens/>
        <w:spacing w:before="0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6F2C84" w:rsidRPr="00D21236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D2123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7</w:t>
      </w:r>
    </w:p>
    <w:p w:rsidR="006F2C84" w:rsidRPr="00D21236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lang w:eastAsia="ar-SA"/>
        </w:rPr>
      </w:pPr>
    </w:p>
    <w:p w:rsidR="006F2C84" w:rsidRPr="00D21236" w:rsidRDefault="006F2C84" w:rsidP="006F2C84">
      <w:pPr>
        <w:numPr>
          <w:ilvl w:val="0"/>
          <w:numId w:val="9"/>
        </w:numPr>
        <w:suppressAutoHyphens/>
        <w:spacing w:before="0" w:line="276" w:lineRule="auto"/>
        <w:ind w:left="360"/>
        <w:rPr>
          <w:rFonts w:ascii="Arial" w:eastAsia="Times New Roman" w:hAnsi="Arial" w:cs="Arial"/>
          <w:bCs/>
          <w:lang w:eastAsia="ar-SA"/>
        </w:rPr>
      </w:pPr>
      <w:r w:rsidRPr="00D21236">
        <w:rPr>
          <w:rFonts w:ascii="Arial" w:eastAsia="Times New Roman" w:hAnsi="Arial" w:cs="Arial"/>
          <w:bCs/>
          <w:lang w:eastAsia="ar-SA"/>
        </w:rPr>
        <w:t>Ogłoszenie dotyczące możliwości ubiegania się o umieszczenie w Wykazie kandydatów na ekspertów podawane jest do publicznej wiadomości w szczególności na stronie internetowej Urzędu Marszałkowskiego Województwa Świętokrzyskiego oraz ŚBRR.</w:t>
      </w:r>
    </w:p>
    <w:p w:rsidR="006F2C84" w:rsidRPr="00D21236" w:rsidRDefault="006F2C84" w:rsidP="006F2C84">
      <w:pPr>
        <w:numPr>
          <w:ilvl w:val="0"/>
          <w:numId w:val="9"/>
        </w:numPr>
        <w:suppressAutoHyphens/>
        <w:spacing w:before="0" w:line="276" w:lineRule="auto"/>
        <w:ind w:left="360"/>
        <w:rPr>
          <w:rFonts w:ascii="Arial" w:eastAsia="Times New Roman" w:hAnsi="Arial" w:cs="Arial"/>
          <w:bCs/>
          <w:lang w:eastAsia="ar-SA"/>
        </w:rPr>
      </w:pPr>
      <w:r w:rsidRPr="00D21236">
        <w:rPr>
          <w:rFonts w:ascii="Arial" w:eastAsia="Times New Roman" w:hAnsi="Arial" w:cs="Arial"/>
          <w:bCs/>
          <w:lang w:eastAsia="ar-SA"/>
        </w:rPr>
        <w:t>Ogłoszenie zawiera:</w:t>
      </w:r>
    </w:p>
    <w:p w:rsidR="006F2C84" w:rsidRPr="00D21236" w:rsidRDefault="006F2C84" w:rsidP="006F2C84">
      <w:pPr>
        <w:numPr>
          <w:ilvl w:val="0"/>
          <w:numId w:val="10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 w:rsidRPr="00D21236">
        <w:rPr>
          <w:rFonts w:ascii="Arial" w:eastAsia="Times New Roman" w:hAnsi="Arial" w:cs="Arial"/>
          <w:bCs/>
          <w:lang w:eastAsia="ar-SA"/>
        </w:rPr>
        <w:t>informacje na temat miejsca, terminu i sposobu składania wniosku,</w:t>
      </w:r>
    </w:p>
    <w:p w:rsidR="006F2C84" w:rsidRDefault="006F2C84" w:rsidP="006F2C84">
      <w:pPr>
        <w:numPr>
          <w:ilvl w:val="0"/>
          <w:numId w:val="10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wymogi, jakie należy spełnić, aby zostać kandydatem na eksperta,</w:t>
      </w:r>
    </w:p>
    <w:p w:rsidR="006F2C84" w:rsidRDefault="006F2C84" w:rsidP="006F2C84">
      <w:pPr>
        <w:numPr>
          <w:ilvl w:val="0"/>
          <w:numId w:val="10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wzór wniosku o umieszczenie w wykazie kandydatów na ekspertów uczestniczących </w:t>
      </w:r>
      <w:r>
        <w:rPr>
          <w:rFonts w:ascii="Arial" w:eastAsia="Times New Roman" w:hAnsi="Arial" w:cs="Arial"/>
          <w:bCs/>
          <w:lang w:eastAsia="ar-SA"/>
        </w:rPr>
        <w:br/>
        <w:t>w procesie wyboru LSR,</w:t>
      </w:r>
    </w:p>
    <w:p w:rsidR="006F2C84" w:rsidRDefault="006F2C84" w:rsidP="006F2C84">
      <w:pPr>
        <w:numPr>
          <w:ilvl w:val="0"/>
          <w:numId w:val="10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wskazanie miejsca zamieszczenia dokumentów dotyczących obszaru działania eksperta tj. </w:t>
      </w:r>
      <w:r>
        <w:rPr>
          <w:rFonts w:ascii="Arial" w:eastAsia="Times New Roman" w:hAnsi="Arial" w:cs="Arial"/>
          <w:lang w:eastAsia="ar-SA"/>
        </w:rPr>
        <w:t>Programu Rozwoju Obszarów Wiejskich na lata 2014-2020</w:t>
      </w:r>
      <w:r>
        <w:rPr>
          <w:rFonts w:ascii="Arial" w:eastAsia="Times New Roman" w:hAnsi="Arial" w:cs="Arial"/>
          <w:bCs/>
          <w:lang w:eastAsia="ar-SA"/>
        </w:rPr>
        <w:t xml:space="preserve">, Europejskiego Funduszu Morskiego i Rybackiego w zakresie wskazanym w art. 3 ust. 1 pkt 4 ustawy z dnia 10 lipca 2015 r. o wspieraniu zrównoważonego rozwoju sektora rybackiego </w:t>
      </w:r>
      <w:r>
        <w:rPr>
          <w:rFonts w:ascii="Arial" w:eastAsia="Times New Roman" w:hAnsi="Arial" w:cs="Arial"/>
          <w:bCs/>
          <w:lang w:eastAsia="ar-SA"/>
        </w:rPr>
        <w:br/>
        <w:t>z udziałem Europejskiego Funduszu Morskiego i Rybackiego;</w:t>
      </w:r>
    </w:p>
    <w:p w:rsidR="006F2C84" w:rsidRDefault="006F2C84" w:rsidP="006F2C84">
      <w:pPr>
        <w:numPr>
          <w:ilvl w:val="0"/>
          <w:numId w:val="9"/>
        </w:numPr>
        <w:suppressAutoHyphens/>
        <w:spacing w:before="0" w:line="276" w:lineRule="auto"/>
        <w:ind w:left="36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Wzór wniosku, o którym mowa w ust. 2 pkt 3 stanowi Załącznik nr 1 do regulaminu </w:t>
      </w:r>
      <w:r>
        <w:rPr>
          <w:rFonts w:ascii="Arial" w:eastAsia="Times New Roman" w:hAnsi="Arial" w:cs="Arial"/>
          <w:bCs/>
          <w:lang w:eastAsia="ar-SA"/>
        </w:rPr>
        <w:br/>
        <w:t>i obejmuje:</w:t>
      </w:r>
    </w:p>
    <w:p w:rsidR="006F2C84" w:rsidRDefault="006F2C84" w:rsidP="006F2C84">
      <w:pPr>
        <w:numPr>
          <w:ilvl w:val="0"/>
          <w:numId w:val="11"/>
        </w:numPr>
        <w:suppressAutoHyphens/>
        <w:spacing w:before="0" w:line="276" w:lineRule="auto"/>
        <w:ind w:left="709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formularz kwestionariusza osobowego, </w:t>
      </w:r>
    </w:p>
    <w:p w:rsidR="006F2C84" w:rsidRDefault="006F2C84" w:rsidP="006F2C84">
      <w:pPr>
        <w:numPr>
          <w:ilvl w:val="0"/>
          <w:numId w:val="11"/>
        </w:numPr>
        <w:suppressAutoHyphens/>
        <w:spacing w:before="0" w:line="276" w:lineRule="auto"/>
        <w:ind w:left="709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oświadczenie dotyczące spełnienia przesłanek zawartych w art. 49 ust. 3 pkt 1-3 ustawy z dnia 11 lipca 2014 r. o zasadach realizacji programów w zakresie polityki spójności finansowanych w  perspektywie finansowej 2014-2020,</w:t>
      </w:r>
    </w:p>
    <w:p w:rsidR="006F2C84" w:rsidRDefault="006F2C84" w:rsidP="006F2C84">
      <w:pPr>
        <w:numPr>
          <w:ilvl w:val="0"/>
          <w:numId w:val="11"/>
        </w:numPr>
        <w:suppressAutoHyphens/>
        <w:spacing w:before="0" w:line="276" w:lineRule="auto"/>
        <w:ind w:left="709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oświadczenie dotyczące zapoznania się z regulaminem naboru kandydatów </w:t>
      </w:r>
      <w:r>
        <w:rPr>
          <w:rFonts w:ascii="Arial" w:eastAsia="Times New Roman" w:hAnsi="Arial" w:cs="Arial"/>
          <w:bCs/>
          <w:lang w:eastAsia="ar-SA"/>
        </w:rPr>
        <w:br/>
        <w:t>na ekspertów,</w:t>
      </w:r>
    </w:p>
    <w:p w:rsidR="006F2C84" w:rsidRDefault="006F2C84" w:rsidP="006F2C84">
      <w:pPr>
        <w:numPr>
          <w:ilvl w:val="0"/>
          <w:numId w:val="11"/>
        </w:numPr>
        <w:suppressAutoHyphens/>
        <w:spacing w:before="0" w:line="276" w:lineRule="auto"/>
        <w:ind w:left="709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oświadczenie kandydata, że nie jest pracownikiem Urzędu Marszałkowskiego Województwa Świętokrzyskiego lub Świętokrzyskiego Biura Rozwoju Regionalnego w Kielcach,</w:t>
      </w:r>
    </w:p>
    <w:p w:rsidR="006F2C84" w:rsidRDefault="006F2C84" w:rsidP="006F2C84">
      <w:pPr>
        <w:numPr>
          <w:ilvl w:val="0"/>
          <w:numId w:val="11"/>
        </w:numPr>
        <w:suppressAutoHyphens/>
        <w:spacing w:before="0" w:line="276" w:lineRule="auto"/>
        <w:ind w:left="709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oświadczenie kandydata, że nie pozostaje w stosunku pracy z Lokalną Grupą Działania biorącą udział w konkursie na wybór LSR w Województwie Świętokrzyskim, nie był zaangażowany w przygotowanie lub opracowanie LSR składanych w ramach konkursu na wybór LSR w Województwie Świętokrzyskim, nie jest członkiem LGD oraz nie jest członkiem organów LGD z Województwa Świętokrzyskiego;</w:t>
      </w:r>
    </w:p>
    <w:p w:rsidR="006F2C84" w:rsidRDefault="006F2C84" w:rsidP="006F2C84">
      <w:pPr>
        <w:numPr>
          <w:ilvl w:val="0"/>
          <w:numId w:val="11"/>
        </w:numPr>
        <w:suppressAutoHyphens/>
        <w:spacing w:before="0" w:line="276" w:lineRule="auto"/>
        <w:ind w:left="709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zgodę na przetwarzanie  danych osobowych kandydata w procesie tworzenia </w:t>
      </w:r>
      <w:r>
        <w:rPr>
          <w:rFonts w:ascii="Arial" w:eastAsia="Times New Roman" w:hAnsi="Arial" w:cs="Arial"/>
          <w:bCs/>
          <w:lang w:eastAsia="ar-SA"/>
        </w:rPr>
        <w:br/>
        <w:t xml:space="preserve">i prowadzenia wykazu kandydatów na ekspertów, a także na potrzeby udziału </w:t>
      </w:r>
      <w:r>
        <w:rPr>
          <w:rFonts w:ascii="Arial" w:eastAsia="Times New Roman" w:hAnsi="Arial" w:cs="Arial"/>
          <w:bCs/>
          <w:lang w:eastAsia="ar-SA"/>
        </w:rPr>
        <w:br/>
        <w:t>w wyborze LSR.</w:t>
      </w:r>
    </w:p>
    <w:p w:rsidR="006F2C84" w:rsidRDefault="006F2C84" w:rsidP="006F2C84">
      <w:pPr>
        <w:suppressAutoHyphens/>
        <w:spacing w:before="0" w:line="276" w:lineRule="auto"/>
        <w:ind w:left="709"/>
        <w:rPr>
          <w:rFonts w:ascii="Arial" w:eastAsia="Times New Roman" w:hAnsi="Arial" w:cs="Arial"/>
          <w:bCs/>
          <w:lang w:eastAsia="ar-SA"/>
        </w:rPr>
      </w:pPr>
    </w:p>
    <w:p w:rsidR="006F2C84" w:rsidRDefault="006F2C84" w:rsidP="006F2C84">
      <w:pPr>
        <w:numPr>
          <w:ilvl w:val="0"/>
          <w:numId w:val="9"/>
        </w:numPr>
        <w:suppressAutoHyphens/>
        <w:spacing w:before="0" w:line="276" w:lineRule="auto"/>
        <w:ind w:left="426" w:hanging="426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>Do wniosku należy dołączyć potwierdzone za zgodność z oryginałem kopie dokumentów potwierdzających spełnienie warunków, o których mowa w § 2 ust. 2 pkt 5 i 6.</w:t>
      </w:r>
    </w:p>
    <w:p w:rsidR="006F2C84" w:rsidRDefault="006F2C84" w:rsidP="006F2C84">
      <w:pPr>
        <w:numPr>
          <w:ilvl w:val="0"/>
          <w:numId w:val="9"/>
        </w:numPr>
        <w:suppressAutoHyphens/>
        <w:spacing w:before="0" w:line="276" w:lineRule="auto"/>
        <w:ind w:left="426" w:hanging="426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Na wniosek Komisji Kwalifikacyjnej kandydat przedstawia do wglądu oryginały dokumentów, o których mowa w ust. 4.</w:t>
      </w:r>
    </w:p>
    <w:p w:rsidR="006F2C84" w:rsidRDefault="006F2C84" w:rsidP="006F2C84">
      <w:pPr>
        <w:suppressAutoHyphens/>
        <w:spacing w:before="0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7" w:name="_Toc420307921"/>
      <w:bookmarkStart w:id="8" w:name="_Toc408576642"/>
    </w:p>
    <w:p w:rsidR="006F2C84" w:rsidRPr="00002EA5" w:rsidRDefault="006F2C84" w:rsidP="006F2C84">
      <w:pPr>
        <w:keepNext/>
        <w:tabs>
          <w:tab w:val="num" w:pos="432"/>
        </w:tabs>
        <w:suppressAutoHyphens/>
        <w:spacing w:before="0" w:line="276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spacing w:val="30"/>
          <w:szCs w:val="24"/>
          <w:lang w:eastAsia="ar-SA"/>
        </w:rPr>
      </w:pPr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Rozdział 5 </w:t>
      </w:r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br/>
        <w:t>Przebieg</w:t>
      </w:r>
      <w:r w:rsidRPr="00002EA5">
        <w:rPr>
          <w:rFonts w:ascii="Arial" w:eastAsia="Times New Roman" w:hAnsi="Arial" w:cs="Arial"/>
          <w:b/>
          <w:bCs/>
          <w:spacing w:val="30"/>
          <w:sz w:val="24"/>
          <w:szCs w:val="24"/>
          <w:lang w:eastAsia="ar-SA"/>
        </w:rPr>
        <w:t xml:space="preserve"> </w:t>
      </w:r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postępowania kwalifikacyjnego na kandydatów na ekspertów</w:t>
      </w:r>
      <w:bookmarkEnd w:id="7"/>
      <w:bookmarkEnd w:id="8"/>
    </w:p>
    <w:p w:rsidR="006F2C84" w:rsidRDefault="006F2C84" w:rsidP="006F2C84">
      <w:pPr>
        <w:suppressAutoHyphens/>
        <w:spacing w:before="0"/>
        <w:ind w:left="360"/>
        <w:jc w:val="left"/>
        <w:rPr>
          <w:rFonts w:ascii="Arial" w:eastAsia="Times New Roman" w:hAnsi="Arial" w:cs="Arial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8</w:t>
      </w:r>
    </w:p>
    <w:p w:rsidR="006F2C84" w:rsidRDefault="006F2C84" w:rsidP="006F2C84">
      <w:pPr>
        <w:suppressAutoHyphens/>
        <w:spacing w:before="0"/>
        <w:ind w:left="360" w:hanging="360"/>
        <w:rPr>
          <w:rFonts w:ascii="Arial" w:eastAsia="Times New Roman" w:hAnsi="Arial" w:cs="Arial"/>
          <w:lang w:eastAsia="ar-SA"/>
        </w:rPr>
      </w:pPr>
    </w:p>
    <w:p w:rsidR="006F2C84" w:rsidRDefault="006F2C84" w:rsidP="006F2C84">
      <w:pPr>
        <w:suppressAutoHyphens/>
        <w:spacing w:before="0" w:line="276" w:lineRule="auto"/>
        <w:ind w:left="426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Postępowanie kwalifikacyjne prowadzone jest w ramach posiedzeń Komisji Kwalifikacyjnej i składa się z następujących etapów:</w:t>
      </w:r>
    </w:p>
    <w:p w:rsidR="006F2C84" w:rsidRDefault="006F2C84" w:rsidP="00FF38EC">
      <w:pPr>
        <w:numPr>
          <w:ilvl w:val="0"/>
          <w:numId w:val="12"/>
        </w:numPr>
        <w:suppressAutoHyphens/>
        <w:spacing w:before="0" w:line="276" w:lineRule="auto"/>
        <w:ind w:left="709" w:hanging="283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weryfikacja formalna wniosku,</w:t>
      </w:r>
    </w:p>
    <w:p w:rsidR="006F2C84" w:rsidRDefault="006F2C84" w:rsidP="006F2C84">
      <w:pPr>
        <w:numPr>
          <w:ilvl w:val="0"/>
          <w:numId w:val="12"/>
        </w:numPr>
        <w:suppressAutoHyphens/>
        <w:spacing w:before="0" w:line="276" w:lineRule="auto"/>
        <w:ind w:left="360" w:firstLine="66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weryfikacja merytoryczna wniosku,</w:t>
      </w:r>
    </w:p>
    <w:p w:rsidR="006F2C84" w:rsidRDefault="006F2C84" w:rsidP="006F2C84">
      <w:pPr>
        <w:numPr>
          <w:ilvl w:val="0"/>
          <w:numId w:val="12"/>
        </w:numPr>
        <w:suppressAutoHyphens/>
        <w:spacing w:before="0" w:line="276" w:lineRule="auto"/>
        <w:ind w:left="709" w:hanging="283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decyzja </w:t>
      </w:r>
      <w:r>
        <w:rPr>
          <w:rFonts w:ascii="Arial" w:eastAsia="Times New Roman" w:hAnsi="Arial" w:cs="Arial"/>
          <w:lang w:eastAsia="ar-SA"/>
        </w:rPr>
        <w:t>o umieszczeniu w Wykazie kandydatów na ekspertów przez IP bądź odmowa Komisji Kwalifikacyjnej o umieszczeniu w Wykazie kandydatów na ekspertów.</w:t>
      </w:r>
    </w:p>
    <w:p w:rsidR="006F2C84" w:rsidRDefault="006F2C84" w:rsidP="006F2C84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§ 9</w:t>
      </w: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lang w:val="en-US" w:eastAsia="ar-SA"/>
        </w:rPr>
      </w:pPr>
    </w:p>
    <w:p w:rsidR="006F2C84" w:rsidRDefault="006F2C84" w:rsidP="006F2C84">
      <w:pPr>
        <w:numPr>
          <w:ilvl w:val="0"/>
          <w:numId w:val="13"/>
        </w:numPr>
        <w:tabs>
          <w:tab w:val="num" w:pos="284"/>
        </w:tabs>
        <w:suppressAutoHyphens/>
        <w:spacing w:before="0" w:line="276" w:lineRule="auto"/>
        <w:ind w:left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sz w:val="24"/>
          <w:lang w:eastAsia="ar-SA"/>
        </w:rPr>
        <w:t xml:space="preserve">Weryfikacja formalna </w:t>
      </w:r>
      <w:r>
        <w:rPr>
          <w:rFonts w:ascii="Arial" w:eastAsia="Times New Roman" w:hAnsi="Arial" w:cs="Arial"/>
          <w:lang w:eastAsia="ar-SA"/>
        </w:rPr>
        <w:t xml:space="preserve">wniosków polega na sprawdzeniu kompletności i poprawności dokumentów wymaganych w ogłoszeniu </w:t>
      </w:r>
      <w:r>
        <w:rPr>
          <w:rFonts w:ascii="Arial" w:eastAsia="Times New Roman" w:hAnsi="Arial" w:cs="Arial"/>
          <w:bCs/>
          <w:lang w:eastAsia="ar-SA"/>
        </w:rPr>
        <w:t>dotyczącym możliwości ubiegania się o umieszczenie w Wykazie kandydatów na ekspertów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bCs/>
          <w:lang w:eastAsia="ar-SA"/>
        </w:rPr>
        <w:t>oraz sprawdzeniu czy wniosek wpłynął w terminie.</w:t>
      </w:r>
    </w:p>
    <w:p w:rsidR="006F2C84" w:rsidRDefault="006F2C84" w:rsidP="006F2C84">
      <w:pPr>
        <w:numPr>
          <w:ilvl w:val="0"/>
          <w:numId w:val="13"/>
        </w:numPr>
        <w:tabs>
          <w:tab w:val="num" w:pos="284"/>
        </w:tabs>
        <w:suppressAutoHyphens/>
        <w:spacing w:before="0" w:line="276" w:lineRule="auto"/>
        <w:ind w:left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Weryfikację formalną przeprowadza Sekretarz Komisji na podstawie Karty weryfikacji wniosku Część I, której wzór stanowi załącznik nr 3 do regulaminu.</w:t>
      </w:r>
    </w:p>
    <w:p w:rsidR="006F2C84" w:rsidRDefault="006F2C84" w:rsidP="006F2C84">
      <w:pPr>
        <w:numPr>
          <w:ilvl w:val="0"/>
          <w:numId w:val="13"/>
        </w:numPr>
        <w:tabs>
          <w:tab w:val="num" w:pos="284"/>
        </w:tabs>
        <w:suppressAutoHyphens/>
        <w:spacing w:before="0" w:line="276" w:lineRule="auto"/>
        <w:ind w:left="284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W przypadku stwierdzenia braków w dokumentacji lub braku poprawności dokumentacji, ubiegający się o status kandydata może zostać jednokrotnie wezwany do ich uzupełnienia </w:t>
      </w:r>
      <w:r>
        <w:rPr>
          <w:rFonts w:ascii="Arial" w:eastAsia="Times New Roman" w:hAnsi="Arial" w:cs="Arial"/>
          <w:bCs/>
          <w:lang w:eastAsia="ar-SA"/>
        </w:rPr>
        <w:br/>
        <w:t xml:space="preserve">w wyznaczonym przez Komisję Kwalifikacyjną terminie nie krótszym niż trzy dni robocze. Wezwanie przesyłane </w:t>
      </w:r>
      <w:r>
        <w:rPr>
          <w:rFonts w:ascii="Arial" w:eastAsia="Times New Roman" w:hAnsi="Arial" w:cs="Arial"/>
          <w:lang w:eastAsia="ar-SA"/>
        </w:rPr>
        <w:t xml:space="preserve">jest </w:t>
      </w:r>
      <w:r>
        <w:rPr>
          <w:rFonts w:ascii="Arial" w:eastAsia="Times New Roman" w:hAnsi="Arial" w:cs="Arial"/>
          <w:bCs/>
          <w:lang w:eastAsia="ar-SA"/>
        </w:rPr>
        <w:t xml:space="preserve">na adres poczty elektronicznej wskazany we wniosku, o którym mowa w § 7 ust. 2 pkt 3. Za moment doręczenia wezwania do uzupełnienia uznaje się dzień przyjęcia informacji na serwer elektronicznego konta pocztowego wskazanego </w:t>
      </w:r>
      <w:r>
        <w:rPr>
          <w:rFonts w:ascii="Arial" w:eastAsia="Times New Roman" w:hAnsi="Arial" w:cs="Arial"/>
          <w:bCs/>
          <w:lang w:eastAsia="ar-SA"/>
        </w:rPr>
        <w:br/>
        <w:t>w kwestionariuszu osobowym.</w:t>
      </w:r>
    </w:p>
    <w:p w:rsidR="006F2C84" w:rsidRDefault="006F2C84" w:rsidP="006F2C84">
      <w:pPr>
        <w:numPr>
          <w:ilvl w:val="0"/>
          <w:numId w:val="13"/>
        </w:numPr>
        <w:tabs>
          <w:tab w:val="num" w:pos="284"/>
        </w:tabs>
        <w:suppressAutoHyphens/>
        <w:spacing w:before="0" w:line="276" w:lineRule="auto"/>
        <w:ind w:left="284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Za niespełniające wymogów formalnych uznaje się:</w:t>
      </w:r>
    </w:p>
    <w:p w:rsidR="006F2C84" w:rsidRDefault="006F2C84" w:rsidP="006F2C84">
      <w:pPr>
        <w:numPr>
          <w:ilvl w:val="0"/>
          <w:numId w:val="14"/>
        </w:numPr>
        <w:tabs>
          <w:tab w:val="num" w:pos="567"/>
        </w:tabs>
        <w:suppressAutoHyphens/>
        <w:spacing w:before="0" w:line="276" w:lineRule="auto"/>
        <w:ind w:left="567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wnioski złożone po terminie, o którym mowa w ogłoszeniu o naborze,</w:t>
      </w:r>
    </w:p>
    <w:p w:rsidR="006F2C84" w:rsidRDefault="006F2C84" w:rsidP="006F2C84">
      <w:pPr>
        <w:numPr>
          <w:ilvl w:val="0"/>
          <w:numId w:val="14"/>
        </w:numPr>
        <w:tabs>
          <w:tab w:val="num" w:pos="567"/>
        </w:tabs>
        <w:suppressAutoHyphens/>
        <w:spacing w:before="0" w:line="276" w:lineRule="auto"/>
        <w:ind w:left="567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wnioski, co do których nie złożono uzupełnień w przypadku gdy wezwano </w:t>
      </w:r>
      <w:r>
        <w:rPr>
          <w:rFonts w:ascii="Arial" w:eastAsia="Times New Roman" w:hAnsi="Arial" w:cs="Arial"/>
          <w:lang w:eastAsia="ar-SA"/>
        </w:rPr>
        <w:br/>
        <w:t>o uzupełnienie,</w:t>
      </w:r>
    </w:p>
    <w:p w:rsidR="006F2C84" w:rsidRDefault="006F2C84" w:rsidP="006F2C84">
      <w:pPr>
        <w:numPr>
          <w:ilvl w:val="0"/>
          <w:numId w:val="14"/>
        </w:numPr>
        <w:tabs>
          <w:tab w:val="num" w:pos="567"/>
        </w:tabs>
        <w:suppressAutoHyphens/>
        <w:spacing w:before="0" w:line="276" w:lineRule="auto"/>
        <w:ind w:left="567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wnioski, co do których uzupełnienia złożono po terminie wskazanym przez Komisję,</w:t>
      </w:r>
    </w:p>
    <w:p w:rsidR="006F2C84" w:rsidRDefault="006F2C84" w:rsidP="006F2C84">
      <w:pPr>
        <w:numPr>
          <w:ilvl w:val="0"/>
          <w:numId w:val="14"/>
        </w:numPr>
        <w:tabs>
          <w:tab w:val="num" w:pos="567"/>
        </w:tabs>
        <w:suppressAutoHyphens/>
        <w:spacing w:before="0" w:line="276" w:lineRule="auto"/>
        <w:ind w:left="567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wnioski uzupełnione niekompletnie.</w:t>
      </w:r>
    </w:p>
    <w:p w:rsidR="006F2C84" w:rsidRDefault="006F2C84" w:rsidP="006F2C84">
      <w:pPr>
        <w:numPr>
          <w:ilvl w:val="0"/>
          <w:numId w:val="13"/>
        </w:numPr>
        <w:tabs>
          <w:tab w:val="num" w:pos="284"/>
        </w:tabs>
        <w:suppressAutoHyphens/>
        <w:spacing w:before="0" w:line="276" w:lineRule="auto"/>
        <w:ind w:left="284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Wnioski, które nie spełniły wymogów formalnych nie są poddawane dalszemu postępowaniu. Informacja o odmowie umieszczenia w wykazie kandydatów na ekspertów wraz z uzasadnieniem przekazywana jest </w:t>
      </w:r>
      <w:r>
        <w:rPr>
          <w:rFonts w:ascii="Arial" w:eastAsia="Times New Roman" w:hAnsi="Arial" w:cs="Arial"/>
          <w:bCs/>
          <w:lang w:eastAsia="ar-SA"/>
        </w:rPr>
        <w:t xml:space="preserve">na adres poczty elektronicznej wskazany </w:t>
      </w:r>
      <w:r>
        <w:rPr>
          <w:rFonts w:ascii="Arial" w:eastAsia="Times New Roman" w:hAnsi="Arial" w:cs="Arial"/>
          <w:bCs/>
          <w:lang w:eastAsia="ar-SA"/>
        </w:rPr>
        <w:br/>
        <w:t>we wniosku, o którym mowa w § 7 ust. 2 pkt 3</w:t>
      </w:r>
      <w:r>
        <w:rPr>
          <w:rFonts w:ascii="Arial" w:eastAsia="Times New Roman" w:hAnsi="Arial" w:cs="Arial"/>
          <w:lang w:eastAsia="ar-SA"/>
        </w:rPr>
        <w:t>.</w:t>
      </w:r>
    </w:p>
    <w:p w:rsidR="006F2C84" w:rsidRDefault="006F2C84" w:rsidP="006F2C84">
      <w:pPr>
        <w:numPr>
          <w:ilvl w:val="0"/>
          <w:numId w:val="13"/>
        </w:numPr>
        <w:tabs>
          <w:tab w:val="num" w:pos="284"/>
        </w:tabs>
        <w:suppressAutoHyphens/>
        <w:spacing w:before="0" w:line="276" w:lineRule="auto"/>
        <w:ind w:left="284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Wnioski kandydatów na ekspertów, które spełniły wymogi formalne przekazywane są do weryfikacji merytorycznej. </w:t>
      </w: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EE3204" w:rsidRDefault="00EE320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EE3204" w:rsidRDefault="00EE320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8D42A7" w:rsidRDefault="008D42A7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8D42A7" w:rsidRDefault="008D42A7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8D42A7" w:rsidRDefault="008D42A7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lastRenderedPageBreak/>
        <w:t>§ 10</w:t>
      </w:r>
    </w:p>
    <w:p w:rsidR="006F2C84" w:rsidRDefault="006F2C84" w:rsidP="006F2C84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6F2C84" w:rsidRDefault="006F2C84" w:rsidP="006F2C84">
      <w:pPr>
        <w:numPr>
          <w:ilvl w:val="0"/>
          <w:numId w:val="15"/>
        </w:numPr>
        <w:tabs>
          <w:tab w:val="num" w:pos="284"/>
        </w:tabs>
        <w:suppressAutoHyphens/>
        <w:spacing w:before="0" w:line="276" w:lineRule="auto"/>
        <w:ind w:left="357" w:hanging="35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Weryfikacja merytoryczna obejmuje ocenę złożonej dokumentacji pod kątem spełnienia kryteriów określonych w ogłoszeniu dotyczącym możliwości ubiegania się o umieszczenie w Wykazie kandydatów na ekspertów dla danej dziedziny, pisemny egzamin lub opcjonalnie rozmowę kwalifikacyjną. </w:t>
      </w:r>
    </w:p>
    <w:p w:rsidR="006F2C84" w:rsidRDefault="006F2C84" w:rsidP="006F2C84">
      <w:pPr>
        <w:numPr>
          <w:ilvl w:val="0"/>
          <w:numId w:val="15"/>
        </w:numPr>
        <w:suppressAutoHyphens/>
        <w:spacing w:before="0" w:line="276" w:lineRule="auto"/>
        <w:ind w:left="357" w:hanging="35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Weryfikację merytoryczną przeprowadza Komisja Kwalifikacyjna, na podstawie Karty weryfikacji wniosku Część II, której wzór stanowi załącznik nr 3 do regulaminu. </w:t>
      </w:r>
    </w:p>
    <w:p w:rsidR="006F2C84" w:rsidRDefault="006F2C84" w:rsidP="006F2C84">
      <w:pPr>
        <w:numPr>
          <w:ilvl w:val="0"/>
          <w:numId w:val="15"/>
        </w:numPr>
        <w:suppressAutoHyphens/>
        <w:spacing w:before="0" w:line="276" w:lineRule="auto"/>
        <w:ind w:left="357" w:hanging="35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Komisja dokonuje oceny złożonej dokumentacji pod kątem spełnienia kryteriów określonych w ogłoszeniu o naborze. </w:t>
      </w:r>
      <w:r w:rsidRPr="00895C98">
        <w:rPr>
          <w:rFonts w:ascii="Arial" w:eastAsia="Times New Roman" w:hAnsi="Arial" w:cs="Arial"/>
          <w:lang w:eastAsia="ar-SA"/>
        </w:rPr>
        <w:t xml:space="preserve">W przypadku stwierdzenia konieczności uzupełnienia dokumentacji osoba ubiegająca się o status kandydata może zostać jednokrotnie wezwana do jej uzupełnienia w wyznaczonym przez Komisję Kwalifikacyjną terminie. Wezwanie przesyłane jest na adres poczty elektronicznej wskazany przez kandydata </w:t>
      </w:r>
      <w:r w:rsidRPr="00895C98">
        <w:rPr>
          <w:rFonts w:ascii="Arial" w:eastAsia="Times New Roman" w:hAnsi="Arial" w:cs="Arial"/>
          <w:bCs/>
          <w:lang w:eastAsia="ar-SA"/>
        </w:rPr>
        <w:t>we wniosku, o którym mowa w § 7 ust. 2 pkt 3</w:t>
      </w:r>
      <w:r w:rsidRPr="00895C98">
        <w:rPr>
          <w:rFonts w:ascii="Arial" w:eastAsia="Times New Roman" w:hAnsi="Arial" w:cs="Arial"/>
          <w:lang w:eastAsia="ar-SA"/>
        </w:rPr>
        <w:t>. Za moment doręczenia wezwania</w:t>
      </w:r>
      <w:r>
        <w:rPr>
          <w:rFonts w:ascii="Arial" w:eastAsia="Times New Roman" w:hAnsi="Arial" w:cs="Arial"/>
          <w:lang w:eastAsia="ar-SA"/>
        </w:rPr>
        <w:t xml:space="preserve"> do złożenia wyjaśnień uznaje się dzień przyjęcia informacji na serwer elektronicznego konta pocztowego.</w:t>
      </w:r>
    </w:p>
    <w:p w:rsidR="006F2C84" w:rsidRDefault="006F2C84" w:rsidP="006F2C84">
      <w:pPr>
        <w:numPr>
          <w:ilvl w:val="0"/>
          <w:numId w:val="15"/>
        </w:numPr>
        <w:suppressAutoHyphens/>
        <w:spacing w:before="0" w:line="276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ramach oceny złożonej dokumentacji, za niespełniające wymogów merytorycznych uznaje się:</w:t>
      </w:r>
    </w:p>
    <w:p w:rsidR="006F2C84" w:rsidRDefault="006F2C84" w:rsidP="006F2C84">
      <w:pPr>
        <w:numPr>
          <w:ilvl w:val="0"/>
          <w:numId w:val="16"/>
        </w:numPr>
        <w:suppressAutoHyphens/>
        <w:spacing w:before="0" w:line="276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dokumentację złożoną przez osobę ubiegającą się o umieszczenie w Wykazie kandydatów na ekspertów niepotwierdzającą wystarczającej wiedzy, umiejętności, doświadczenia w dziedzinie objętej naborem oraz która nie potwierdza spełnienia innych kryteriów określonych w ogłoszeniu,</w:t>
      </w:r>
    </w:p>
    <w:p w:rsidR="006F2C84" w:rsidRDefault="006F2C84" w:rsidP="006F2C84">
      <w:pPr>
        <w:numPr>
          <w:ilvl w:val="0"/>
          <w:numId w:val="16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wnioski, co do których nie złożono wymaganych uzupełnień,</w:t>
      </w:r>
    </w:p>
    <w:p w:rsidR="006F2C84" w:rsidRDefault="006F2C84" w:rsidP="006F2C84">
      <w:pPr>
        <w:numPr>
          <w:ilvl w:val="0"/>
          <w:numId w:val="16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wnioski, co do których uzupełnienia złożono po terminie wskazanym przez Komisję,</w:t>
      </w:r>
    </w:p>
    <w:p w:rsidR="006F2C84" w:rsidRDefault="006F2C84" w:rsidP="006F2C84">
      <w:pPr>
        <w:numPr>
          <w:ilvl w:val="0"/>
          <w:numId w:val="16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wnioski uzupełnione niekompletnie.</w:t>
      </w:r>
    </w:p>
    <w:p w:rsidR="006F2C84" w:rsidRDefault="006F2C84" w:rsidP="006F2C84">
      <w:pPr>
        <w:suppressAutoHyphens/>
        <w:spacing w:before="0"/>
        <w:ind w:left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Wnioski, które nie spełniły wymogów merytorycznych nie są poddawane dalszemu postępowaniu. Informacja o odmowie umieszczenia w wykazie kandydatów na ekspertów wraz z uzasadnieniem przekazywana jest </w:t>
      </w:r>
      <w:r>
        <w:rPr>
          <w:rFonts w:ascii="Arial" w:eastAsia="Times New Roman" w:hAnsi="Arial" w:cs="Arial"/>
          <w:bCs/>
          <w:lang w:eastAsia="ar-SA"/>
        </w:rPr>
        <w:t>na adres poczty elektronicznej wskazany we wniosku, o którym mowa w § 7 ust. 2 pkt 3</w:t>
      </w:r>
      <w:r>
        <w:rPr>
          <w:rFonts w:ascii="Arial" w:eastAsia="Times New Roman" w:hAnsi="Arial" w:cs="Arial"/>
          <w:lang w:eastAsia="ar-SA"/>
        </w:rPr>
        <w:t>.</w:t>
      </w:r>
    </w:p>
    <w:p w:rsidR="006F2C84" w:rsidRDefault="006F2C84" w:rsidP="006F2C84">
      <w:pPr>
        <w:suppressAutoHyphens/>
        <w:spacing w:before="0"/>
        <w:ind w:left="360"/>
        <w:rPr>
          <w:rFonts w:ascii="Arial" w:eastAsia="Times New Roman" w:hAnsi="Arial" w:cs="Arial"/>
          <w:lang w:eastAsia="ar-SA"/>
        </w:rPr>
      </w:pPr>
    </w:p>
    <w:p w:rsidR="006F2C84" w:rsidRPr="005A3A7B" w:rsidRDefault="006F2C84" w:rsidP="006F2C84">
      <w:pPr>
        <w:numPr>
          <w:ilvl w:val="0"/>
          <w:numId w:val="15"/>
        </w:numPr>
        <w:suppressAutoHyphens/>
        <w:spacing w:before="0" w:line="276" w:lineRule="auto"/>
        <w:rPr>
          <w:rFonts w:ascii="Arial" w:eastAsia="Times New Roman" w:hAnsi="Arial" w:cs="Arial"/>
          <w:color w:val="000000" w:themeColor="text1"/>
          <w:lang w:eastAsia="ar-SA"/>
        </w:rPr>
      </w:pPr>
      <w:r w:rsidRPr="005A3A7B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W ramach weryfikacji merytorycznej każda osoba ubiegająca się o status kandydata </w:t>
      </w:r>
      <w:r w:rsidRPr="005A3A7B">
        <w:rPr>
          <w:rFonts w:ascii="Arial" w:eastAsia="Times New Roman" w:hAnsi="Arial" w:cs="Arial"/>
          <w:bCs/>
          <w:color w:val="000000" w:themeColor="text1"/>
          <w:lang w:eastAsia="ar-SA"/>
        </w:rPr>
        <w:br/>
        <w:t>na eksperta jest zobowiązana do przystąpienia do pisemnego egzaminu lub rozmowy kwalifikacyjnej</w:t>
      </w:r>
      <w:r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. </w:t>
      </w:r>
      <w:r w:rsidRPr="005A3A7B">
        <w:rPr>
          <w:rFonts w:ascii="Arial" w:eastAsia="Times New Roman" w:hAnsi="Arial" w:cs="Arial"/>
          <w:color w:val="000000" w:themeColor="text1"/>
          <w:lang w:eastAsia="ar-SA"/>
        </w:rPr>
        <w:t>W ramach pisemnego egzaminu lub rozmowy kwalifikacyjnej weryfikowana jest ogólna wiedza teoretyczna kandydata w zakresie Programu Rozwoju Obszarów Wiejskich na lata 2014-2020 - w szczególności jego celów i sposobu realizacji działania LEADER.</w:t>
      </w:r>
      <w:r w:rsidRPr="005A3A7B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Pisemny egzamin może mieć formę testu i będzie przeprowadzany – podobnie jak rozmowa kwalifikacyjna – w siedzibie ŚBRR. </w:t>
      </w:r>
      <w:r w:rsidRPr="005A3A7B">
        <w:rPr>
          <w:rFonts w:ascii="Arial" w:eastAsia="Times New Roman" w:hAnsi="Arial" w:cs="Arial"/>
          <w:bCs/>
          <w:color w:val="000000" w:themeColor="text1"/>
          <w:lang w:eastAsia="ar-SA"/>
        </w:rPr>
        <w:t>O formie oraz terminie egzaminu kandydaci na ekspertów zostaną powiadomieni indywidualnie na adres poczty elektronicznej wskazany we wniosku, o którym mowa w § 7 ust. 2 pkt 3</w:t>
      </w:r>
      <w:r>
        <w:rPr>
          <w:rFonts w:ascii="Arial" w:eastAsia="Times New Roman" w:hAnsi="Arial" w:cs="Arial"/>
          <w:bCs/>
          <w:color w:val="000000" w:themeColor="text1"/>
          <w:lang w:eastAsia="ar-SA"/>
        </w:rPr>
        <w:t>. S</w:t>
      </w:r>
      <w:r w:rsidRPr="005A3A7B">
        <w:rPr>
          <w:rFonts w:ascii="Arial" w:eastAsia="Times New Roman" w:hAnsi="Arial" w:cs="Arial"/>
          <w:bCs/>
          <w:color w:val="000000" w:themeColor="text1"/>
          <w:lang w:eastAsia="ar-SA"/>
        </w:rPr>
        <w:t>tosowna informacja zostanie t</w:t>
      </w:r>
      <w:r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akże </w:t>
      </w:r>
      <w:r w:rsidRPr="005A3A7B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umieszczona na stronie internetowej </w:t>
      </w:r>
      <w:r>
        <w:rPr>
          <w:rFonts w:ascii="Arial" w:eastAsia="Times New Roman" w:hAnsi="Arial" w:cs="Arial"/>
          <w:bCs/>
          <w:color w:val="000000" w:themeColor="text1"/>
          <w:lang w:eastAsia="ar-SA"/>
        </w:rPr>
        <w:t>ŚBRR (</w:t>
      </w:r>
      <w:hyperlink r:id="rId13" w:history="1">
        <w:r w:rsidR="00FF38EC" w:rsidRPr="00AA744C">
          <w:rPr>
            <w:rStyle w:val="Hipercze"/>
            <w:rFonts w:ascii="Arial" w:eastAsia="Times New Roman" w:hAnsi="Arial" w:cs="Arial"/>
            <w:bCs/>
            <w:lang w:eastAsia="ar-SA"/>
          </w:rPr>
          <w:t>www.sbrr.pl</w:t>
        </w:r>
      </w:hyperlink>
      <w:r>
        <w:rPr>
          <w:rFonts w:ascii="Arial" w:eastAsia="Times New Roman" w:hAnsi="Arial" w:cs="Arial"/>
          <w:bCs/>
          <w:color w:val="000000" w:themeColor="text1"/>
          <w:lang w:eastAsia="ar-SA"/>
        </w:rPr>
        <w:t>)</w:t>
      </w:r>
      <w:r w:rsidRPr="005A3A7B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</w:p>
    <w:p w:rsidR="006F2C84" w:rsidRPr="00C014B6" w:rsidRDefault="006F2C84" w:rsidP="006F2C84">
      <w:pPr>
        <w:numPr>
          <w:ilvl w:val="0"/>
          <w:numId w:val="15"/>
        </w:numPr>
        <w:suppressAutoHyphens/>
        <w:spacing w:before="0" w:line="276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</w:t>
      </w:r>
      <w:r w:rsidRPr="00C014B6">
        <w:rPr>
          <w:rFonts w:ascii="Arial" w:eastAsia="Times New Roman" w:hAnsi="Arial" w:cs="Arial"/>
          <w:bCs/>
          <w:lang w:eastAsia="ar-SA"/>
        </w:rPr>
        <w:t>zyskani</w:t>
      </w:r>
      <w:r>
        <w:rPr>
          <w:rFonts w:ascii="Arial" w:eastAsia="Times New Roman" w:hAnsi="Arial" w:cs="Arial"/>
          <w:bCs/>
          <w:lang w:eastAsia="ar-SA"/>
        </w:rPr>
        <w:t>e</w:t>
      </w:r>
      <w:r w:rsidRPr="00C014B6">
        <w:rPr>
          <w:rFonts w:ascii="Arial" w:eastAsia="Times New Roman" w:hAnsi="Arial" w:cs="Arial"/>
          <w:bCs/>
          <w:lang w:eastAsia="ar-SA"/>
        </w:rPr>
        <w:t xml:space="preserve"> negatywnego wyniku w ramach pisemnego egzaminu </w:t>
      </w:r>
      <w:r>
        <w:rPr>
          <w:rFonts w:ascii="Arial" w:eastAsia="Times New Roman" w:hAnsi="Arial" w:cs="Arial"/>
          <w:bCs/>
          <w:lang w:eastAsia="ar-SA"/>
        </w:rPr>
        <w:t>lub rozmowy kwalifikacyjnej jest jednoznaczne z nie spełnieniem</w:t>
      </w:r>
      <w:r w:rsidRPr="00C014B6">
        <w:rPr>
          <w:rFonts w:ascii="Arial" w:eastAsia="Times New Roman" w:hAnsi="Arial" w:cs="Arial"/>
          <w:bCs/>
          <w:lang w:eastAsia="ar-SA"/>
        </w:rPr>
        <w:t xml:space="preserve"> wymogów merytorycznych i </w:t>
      </w:r>
      <w:r>
        <w:rPr>
          <w:rFonts w:ascii="Arial" w:eastAsia="Times New Roman" w:hAnsi="Arial" w:cs="Arial"/>
          <w:bCs/>
          <w:lang w:eastAsia="ar-SA"/>
        </w:rPr>
        <w:t>odmową umieszczenia kandydata w wykazie kandydatów na ekspertów</w:t>
      </w:r>
      <w:r w:rsidRPr="00C014B6">
        <w:rPr>
          <w:rFonts w:ascii="Arial" w:eastAsia="Times New Roman" w:hAnsi="Arial" w:cs="Arial"/>
          <w:bCs/>
          <w:lang w:eastAsia="ar-SA"/>
        </w:rPr>
        <w:t>.</w:t>
      </w:r>
      <w:r w:rsidRPr="00C014B6">
        <w:rPr>
          <w:rFonts w:ascii="Arial" w:eastAsia="Times New Roman" w:hAnsi="Arial" w:cs="Arial"/>
          <w:lang w:eastAsia="ar-SA"/>
        </w:rPr>
        <w:t xml:space="preserve"> Informacja o odmowie umieszczenia w wykazie kandydatów na ekspertów wraz z uzasadnieniem przekazywana jest </w:t>
      </w:r>
      <w:r w:rsidRPr="00C014B6">
        <w:rPr>
          <w:rFonts w:ascii="Arial" w:eastAsia="Times New Roman" w:hAnsi="Arial" w:cs="Arial"/>
          <w:bCs/>
          <w:lang w:eastAsia="ar-SA"/>
        </w:rPr>
        <w:t>na adres poczty elektronicznej wskazany we wniosku, o którym mowa w § 7 ust. 2 pkt 3</w:t>
      </w:r>
      <w:r w:rsidRPr="00C014B6">
        <w:rPr>
          <w:rFonts w:ascii="Arial" w:eastAsia="Times New Roman" w:hAnsi="Arial" w:cs="Arial"/>
          <w:lang w:eastAsia="ar-SA"/>
        </w:rPr>
        <w:t>.</w:t>
      </w:r>
    </w:p>
    <w:p w:rsidR="006F2C84" w:rsidRDefault="006F2C84" w:rsidP="006F2C84">
      <w:pPr>
        <w:numPr>
          <w:ilvl w:val="0"/>
          <w:numId w:val="15"/>
        </w:numPr>
        <w:suppressAutoHyphens/>
        <w:spacing w:before="0" w:line="276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 zakończeniu wszystkich etapów weryfikacji, a także po zapoznaniu się z opiniami Członków Komisji, Komisja Kwalifikacyjna rekomenduje wybrane osoby do umieszczenia bądź – w przypadku niespełnienia wymogów merytorycznych  - odmawia umieszczenia </w:t>
      </w:r>
      <w:r>
        <w:rPr>
          <w:rFonts w:ascii="Arial" w:eastAsia="Times New Roman" w:hAnsi="Arial" w:cs="Arial"/>
          <w:lang w:eastAsia="ar-SA"/>
        </w:rPr>
        <w:lastRenderedPageBreak/>
        <w:t xml:space="preserve">w Wykazie kandydatów na ekspertów. Informacja o odmowie umieszczenia w Wykazie kandydatów na ekspertów wraz z uzasadnieniem przekazywana jest </w:t>
      </w:r>
      <w:r>
        <w:rPr>
          <w:rFonts w:ascii="Arial" w:eastAsia="Times New Roman" w:hAnsi="Arial" w:cs="Arial"/>
          <w:bCs/>
          <w:lang w:eastAsia="ar-SA"/>
        </w:rPr>
        <w:t>na adres poczty elektronicznej wskazany we wniosku, o którym mowa w § 7 ust. 2 pkt 3.</w:t>
      </w:r>
    </w:p>
    <w:p w:rsidR="006F2C84" w:rsidRDefault="006F2C84" w:rsidP="006F2C84">
      <w:pPr>
        <w:numPr>
          <w:ilvl w:val="0"/>
          <w:numId w:val="15"/>
        </w:numPr>
        <w:suppressAutoHyphens/>
        <w:spacing w:before="0" w:line="276" w:lineRule="auto"/>
        <w:rPr>
          <w:rFonts w:ascii="Arial" w:eastAsia="Times New Roman" w:hAnsi="Arial" w:cs="Arial"/>
          <w:shd w:val="clear" w:color="auto" w:fill="00FFFF"/>
          <w:lang w:eastAsia="ar-SA"/>
        </w:rPr>
      </w:pPr>
      <w:r>
        <w:rPr>
          <w:rFonts w:ascii="Arial" w:eastAsia="Times New Roman" w:hAnsi="Arial" w:cs="Arial"/>
          <w:lang w:eastAsia="ar-SA"/>
        </w:rPr>
        <w:t>Po zakończeniu postępowania kwalifikacyjnego Sekretarz Komisji sporządza protokół, który zawiera listę osób, które zostały pozytywnie zarekomendowane przez Komisję do  umieszczenia w Wykazie kandydatów na ekspertów oraz informację o kandydatach, którzy uzyskali odmowę w zakresie umieszczenia w Wykazie kandydatów na ekspertów.</w:t>
      </w:r>
    </w:p>
    <w:p w:rsidR="006F2C84" w:rsidRDefault="006F2C84" w:rsidP="006F2C84">
      <w:pPr>
        <w:numPr>
          <w:ilvl w:val="0"/>
          <w:numId w:val="15"/>
        </w:numPr>
        <w:suppressAutoHyphens/>
        <w:spacing w:before="0" w:line="276" w:lineRule="auto"/>
        <w:rPr>
          <w:rFonts w:ascii="Arial" w:eastAsia="Times New Roman" w:hAnsi="Arial" w:cs="Arial"/>
          <w:strike/>
          <w:lang w:eastAsia="ar-SA"/>
        </w:rPr>
      </w:pPr>
      <w:r>
        <w:rPr>
          <w:rFonts w:ascii="Arial" w:eastAsia="Times New Roman" w:hAnsi="Arial" w:cs="Arial"/>
          <w:lang w:eastAsia="ar-SA"/>
        </w:rPr>
        <w:t>Decyzję o umieszczeniu danej osoby w Wykazie kandydatów na ekspertów podejmuje Dyrektor ŚBRR.</w:t>
      </w:r>
    </w:p>
    <w:p w:rsidR="006F2C84" w:rsidRDefault="006F2C84" w:rsidP="006F2C84">
      <w:pPr>
        <w:numPr>
          <w:ilvl w:val="0"/>
          <w:numId w:val="15"/>
        </w:numPr>
        <w:suppressAutoHyphens/>
        <w:spacing w:before="0" w:line="276" w:lineRule="auto"/>
        <w:rPr>
          <w:rFonts w:ascii="Arial" w:eastAsia="Times New Roman" w:hAnsi="Arial" w:cs="Arial"/>
          <w:shd w:val="clear" w:color="auto" w:fill="00FFFF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Osoby, które zostały umieszczone w Wykazie kandydatów na ekspertów są informowane o wynikach postępowania kwalifikacyjnego za pośrednictwem poczty elektronicznej, </w:t>
      </w:r>
      <w:r>
        <w:rPr>
          <w:rFonts w:ascii="Arial" w:eastAsia="Times New Roman" w:hAnsi="Arial" w:cs="Arial"/>
          <w:lang w:eastAsia="ar-SA"/>
        </w:rPr>
        <w:br/>
      </w:r>
      <w:r>
        <w:rPr>
          <w:rFonts w:ascii="Arial" w:eastAsia="Times New Roman" w:hAnsi="Arial" w:cs="Arial"/>
          <w:bCs/>
          <w:lang w:eastAsia="ar-SA"/>
        </w:rPr>
        <w:t>na adres poczty elektronicznej wskazany we wniosku, o którym mowa w § 7 ust. 2 pkt 3.</w:t>
      </w:r>
    </w:p>
    <w:p w:rsidR="006F2C84" w:rsidRDefault="006F2C84" w:rsidP="006F2C84">
      <w:pPr>
        <w:numPr>
          <w:ilvl w:val="0"/>
          <w:numId w:val="15"/>
        </w:numPr>
        <w:suppressAutoHyphens/>
        <w:spacing w:before="0" w:line="276" w:lineRule="auto"/>
        <w:rPr>
          <w:rFonts w:ascii="Arial" w:eastAsia="Times New Roman" w:hAnsi="Arial" w:cs="Arial"/>
          <w:shd w:val="clear" w:color="auto" w:fill="00FFFF"/>
          <w:lang w:eastAsia="ar-SA"/>
        </w:rPr>
      </w:pPr>
      <w:r>
        <w:rPr>
          <w:rFonts w:ascii="Arial" w:eastAsia="Times New Roman" w:hAnsi="Arial" w:cs="Arial"/>
          <w:lang w:eastAsia="ar-SA"/>
        </w:rPr>
        <w:t>Postępowanie kwalifikacyjne trwa do 15 dni kalendarzowych od zakończenia naboru wniosków kandydatów na ekspertów.</w:t>
      </w:r>
    </w:p>
    <w:p w:rsidR="006F2C84" w:rsidRDefault="006F2C84" w:rsidP="006F2C84">
      <w:pPr>
        <w:numPr>
          <w:ilvl w:val="0"/>
          <w:numId w:val="15"/>
        </w:numPr>
        <w:suppressAutoHyphens/>
        <w:spacing w:before="0" w:line="276" w:lineRule="auto"/>
        <w:rPr>
          <w:rFonts w:ascii="Arial" w:eastAsia="Times New Roman" w:hAnsi="Arial" w:cs="Arial"/>
          <w:shd w:val="clear" w:color="auto" w:fill="00FFFF"/>
          <w:lang w:eastAsia="ar-SA"/>
        </w:rPr>
      </w:pPr>
      <w:r>
        <w:rPr>
          <w:rFonts w:ascii="Arial" w:eastAsia="Times New Roman" w:hAnsi="Arial" w:cs="Arial"/>
          <w:lang w:eastAsia="ar-SA"/>
        </w:rPr>
        <w:t>Przewodniczący Komisji Kwalifikacyjnej w uzasadnionych przypadkach ma możliwość przedłużenia terminu zakończenia postępowania kwalifikacyjnego.</w:t>
      </w:r>
    </w:p>
    <w:p w:rsidR="006F2C84" w:rsidRDefault="006F2C84" w:rsidP="006F2C84">
      <w:pPr>
        <w:numPr>
          <w:ilvl w:val="0"/>
          <w:numId w:val="15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Dokumentacja złożona przez ubiegających się o status kandydata na eksperta </w:t>
      </w:r>
      <w:r>
        <w:rPr>
          <w:rFonts w:ascii="Arial" w:eastAsia="Times New Roman" w:hAnsi="Arial" w:cs="Arial"/>
          <w:bCs/>
          <w:lang w:eastAsia="ar-SA"/>
        </w:rPr>
        <w:br/>
        <w:t>nie podlega zwrotowi.</w:t>
      </w: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§ 11</w:t>
      </w:r>
    </w:p>
    <w:p w:rsidR="006F2C84" w:rsidRDefault="006F2C84" w:rsidP="006F2C84">
      <w:pPr>
        <w:suppressAutoHyphens/>
        <w:spacing w:before="0"/>
        <w:ind w:left="360"/>
        <w:jc w:val="center"/>
        <w:rPr>
          <w:rFonts w:ascii="Arial" w:eastAsia="Times New Roman" w:hAnsi="Arial" w:cs="Arial"/>
          <w:lang w:val="en-US" w:eastAsia="ar-SA"/>
        </w:rPr>
      </w:pPr>
    </w:p>
    <w:p w:rsidR="006F2C84" w:rsidRDefault="006F2C84" w:rsidP="006F2C84">
      <w:pPr>
        <w:numPr>
          <w:ilvl w:val="0"/>
          <w:numId w:val="17"/>
        </w:numPr>
        <w:tabs>
          <w:tab w:val="num" w:pos="284"/>
        </w:tabs>
        <w:suppressAutoHyphens/>
        <w:spacing w:before="0" w:line="276" w:lineRule="auto"/>
        <w:ind w:left="36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Kandydaci na ekspertów powoływani są na czas trwania konkursów na wybór LSR.</w:t>
      </w:r>
    </w:p>
    <w:p w:rsidR="006F2C84" w:rsidRDefault="006F2C84" w:rsidP="006F2C84">
      <w:pPr>
        <w:numPr>
          <w:ilvl w:val="0"/>
          <w:numId w:val="17"/>
        </w:numPr>
        <w:tabs>
          <w:tab w:val="num" w:pos="284"/>
        </w:tabs>
        <w:suppressAutoHyphens/>
        <w:spacing w:before="0" w:line="276" w:lineRule="auto"/>
        <w:ind w:left="36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Wpis do Wykazu kandydatów na ekspertów obejmuje:</w:t>
      </w:r>
    </w:p>
    <w:p w:rsidR="006F2C84" w:rsidRDefault="006F2C84" w:rsidP="006F2C84">
      <w:pPr>
        <w:numPr>
          <w:ilvl w:val="0"/>
          <w:numId w:val="18"/>
        </w:numPr>
        <w:suppressAutoHyphens/>
        <w:spacing w:before="0" w:line="276" w:lineRule="auto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imię i nazwisko kandydata na eksperta;</w:t>
      </w:r>
    </w:p>
    <w:p w:rsidR="006F2C84" w:rsidRDefault="006F2C84" w:rsidP="006F2C84">
      <w:pPr>
        <w:numPr>
          <w:ilvl w:val="0"/>
          <w:numId w:val="18"/>
        </w:numPr>
        <w:suppressAutoHyphens/>
        <w:spacing w:before="0" w:line="276" w:lineRule="auto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adres poczty elektronicznej kandydata.</w:t>
      </w:r>
    </w:p>
    <w:p w:rsidR="006F2C84" w:rsidRDefault="006F2C84" w:rsidP="006F2C84">
      <w:pPr>
        <w:numPr>
          <w:ilvl w:val="0"/>
          <w:numId w:val="17"/>
        </w:numPr>
        <w:tabs>
          <w:tab w:val="num" w:pos="284"/>
        </w:tabs>
        <w:suppressAutoHyphens/>
        <w:spacing w:before="0" w:line="276" w:lineRule="auto"/>
        <w:ind w:left="284" w:hanging="284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Wykaz </w:t>
      </w:r>
      <w:r>
        <w:rPr>
          <w:rFonts w:ascii="Arial" w:eastAsia="Times New Roman" w:hAnsi="Arial" w:cs="Arial"/>
          <w:lang w:eastAsia="ar-SA"/>
        </w:rPr>
        <w:t xml:space="preserve">kandydatów na ekspertów jest zamieszczany na stronie internetowej </w:t>
      </w:r>
      <w:hyperlink r:id="rId14" w:history="1">
        <w:r w:rsidRPr="00AA744C">
          <w:rPr>
            <w:rStyle w:val="Hipercze"/>
            <w:rFonts w:ascii="Arial" w:eastAsia="Times New Roman" w:hAnsi="Arial" w:cs="Arial"/>
            <w:bCs/>
            <w:lang w:eastAsia="ar-SA"/>
          </w:rPr>
          <w:t>www.sbrr.pl</w:t>
        </w:r>
      </w:hyperlink>
      <w:r>
        <w:rPr>
          <w:rFonts w:ascii="Arial" w:eastAsia="Times New Roman" w:hAnsi="Arial" w:cs="Arial"/>
          <w:lang w:eastAsia="ar-SA"/>
        </w:rPr>
        <w:t xml:space="preserve"> i uwzględnia informacje, o których mowa w ust. 2. Wykaz </w:t>
      </w:r>
      <w:r>
        <w:rPr>
          <w:rFonts w:ascii="Arial" w:eastAsia="Times New Roman" w:hAnsi="Arial" w:cs="Arial"/>
          <w:bCs/>
          <w:lang w:eastAsia="ar-SA"/>
        </w:rPr>
        <w:t xml:space="preserve">kandydatów na ekspertów podlega okresowej aktualizacji w razie zachodzących zmian </w:t>
      </w:r>
      <w:r>
        <w:rPr>
          <w:rFonts w:ascii="Arial" w:eastAsia="Times New Roman" w:hAnsi="Arial" w:cs="Arial"/>
          <w:bCs/>
          <w:lang w:eastAsia="ar-SA"/>
        </w:rPr>
        <w:br/>
        <w:t>w jego składzie w przypadkach, o których mowa w § 12.</w:t>
      </w:r>
    </w:p>
    <w:p w:rsidR="006F2C84" w:rsidRDefault="006F2C84" w:rsidP="006F2C84">
      <w:pPr>
        <w:numPr>
          <w:ilvl w:val="0"/>
          <w:numId w:val="17"/>
        </w:numPr>
        <w:tabs>
          <w:tab w:val="num" w:pos="284"/>
        </w:tabs>
        <w:suppressAutoHyphens/>
        <w:spacing w:before="0" w:line="276" w:lineRule="auto"/>
        <w:ind w:left="284" w:hanging="284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Wpis do Wykazu kandydatów na ekspertów nie zapewnia kandydatowi na eksperta uczestnictwa</w:t>
      </w:r>
      <w:r>
        <w:rPr>
          <w:rFonts w:ascii="Arial" w:eastAsia="Times New Roman" w:hAnsi="Arial" w:cs="Arial"/>
          <w:lang w:eastAsia="ar-SA"/>
        </w:rPr>
        <w:t xml:space="preserve"> w procesie wyboru LSR i nie może stanowić podstawy do zgłaszania jakichkolwiek roszczeń z tego tytułu.</w:t>
      </w:r>
      <w:bookmarkStart w:id="9" w:name="_Toc420307922"/>
      <w:bookmarkStart w:id="10" w:name="_Toc408576644"/>
    </w:p>
    <w:p w:rsidR="006F2C84" w:rsidRDefault="006F2C84" w:rsidP="006F2C84">
      <w:pPr>
        <w:suppressAutoHyphens/>
        <w:spacing w:before="0" w:line="276" w:lineRule="auto"/>
        <w:ind w:left="284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F2C84" w:rsidRPr="00002EA5" w:rsidRDefault="006F2C84" w:rsidP="006F2C84">
      <w:pPr>
        <w:keepNext/>
        <w:tabs>
          <w:tab w:val="num" w:pos="432"/>
        </w:tabs>
        <w:suppressAutoHyphens/>
        <w:spacing w:before="0" w:line="276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Rozdział 6 </w:t>
      </w:r>
      <w:r w:rsidRPr="00002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br/>
        <w:t>Zmiany w Wykazie kandydatów na ekspertów</w:t>
      </w:r>
      <w:bookmarkEnd w:id="9"/>
      <w:bookmarkEnd w:id="10"/>
    </w:p>
    <w:p w:rsidR="006F2C84" w:rsidRDefault="006F2C84" w:rsidP="006F2C84">
      <w:pPr>
        <w:suppressAutoHyphens/>
        <w:spacing w:before="0"/>
        <w:jc w:val="left"/>
        <w:rPr>
          <w:rFonts w:ascii="Arial" w:eastAsia="Times New Roman" w:hAnsi="Arial" w:cs="Arial"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§ 12</w:t>
      </w:r>
    </w:p>
    <w:p w:rsidR="006F2C84" w:rsidRDefault="006F2C84" w:rsidP="006F2C84">
      <w:pPr>
        <w:suppressAutoHyphens/>
        <w:spacing w:before="0"/>
        <w:ind w:left="360"/>
        <w:jc w:val="center"/>
        <w:rPr>
          <w:rFonts w:ascii="Arial" w:eastAsia="Times New Roman" w:hAnsi="Arial" w:cs="Arial"/>
          <w:lang w:val="en-US" w:eastAsia="ar-SA"/>
        </w:rPr>
      </w:pPr>
    </w:p>
    <w:p w:rsidR="006F2C84" w:rsidRDefault="006F2C84" w:rsidP="006F2C84">
      <w:pPr>
        <w:numPr>
          <w:ilvl w:val="0"/>
          <w:numId w:val="19"/>
        </w:numPr>
        <w:tabs>
          <w:tab w:val="num" w:pos="284"/>
        </w:tabs>
        <w:suppressAutoHyphens/>
        <w:spacing w:before="0" w:line="276" w:lineRule="auto"/>
        <w:ind w:left="284" w:hanging="284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IP </w:t>
      </w:r>
      <w:r>
        <w:rPr>
          <w:rFonts w:ascii="Arial" w:eastAsia="Times New Roman" w:hAnsi="Arial" w:cs="Arial"/>
          <w:lang w:eastAsia="ar-SA"/>
        </w:rPr>
        <w:t>dokonuje aktualizacji danych w Wykazie kandydatów na ekspertów.</w:t>
      </w:r>
    </w:p>
    <w:p w:rsidR="006F2C84" w:rsidRDefault="006F2C84" w:rsidP="006F2C84">
      <w:pPr>
        <w:numPr>
          <w:ilvl w:val="0"/>
          <w:numId w:val="19"/>
        </w:numPr>
        <w:tabs>
          <w:tab w:val="num" w:pos="284"/>
        </w:tabs>
        <w:suppressAutoHyphens/>
        <w:spacing w:before="0" w:line="276" w:lineRule="auto"/>
        <w:ind w:left="284" w:hanging="284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Kandydat na eksperta zostaje wykreślony z Wykazu kandydatów w sytuacji, gdy:</w:t>
      </w:r>
    </w:p>
    <w:p w:rsidR="006F2C84" w:rsidRDefault="006F2C84" w:rsidP="006F2C84">
      <w:pPr>
        <w:numPr>
          <w:ilvl w:val="0"/>
          <w:numId w:val="20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zaistnieje okoliczność powodująca niespełnienie przesłanek wskazanych w § 2 ust. 2 pkt 1-3;</w:t>
      </w:r>
    </w:p>
    <w:p w:rsidR="006F2C84" w:rsidRDefault="006F2C84" w:rsidP="006F2C84">
      <w:pPr>
        <w:numPr>
          <w:ilvl w:val="0"/>
          <w:numId w:val="20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złożył niezgodne z prawdą dokumenty aplikacyjne;</w:t>
      </w:r>
    </w:p>
    <w:p w:rsidR="006F2C84" w:rsidRDefault="006F2C84" w:rsidP="006F2C84">
      <w:pPr>
        <w:numPr>
          <w:ilvl w:val="0"/>
          <w:numId w:val="20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złożył pisemną prośbę o wykreślenie z Wykazu kandydatów na ekspertów;</w:t>
      </w:r>
    </w:p>
    <w:p w:rsidR="006F2C84" w:rsidRDefault="006F2C84" w:rsidP="006F2C84">
      <w:pPr>
        <w:numPr>
          <w:ilvl w:val="0"/>
          <w:numId w:val="20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został pracownikiem (na podstawie umowy o pracę) Urzędu Marszałkowskiego Województwa Świętokrzyskiego lub ŚBRR;</w:t>
      </w:r>
    </w:p>
    <w:p w:rsidR="006F2C84" w:rsidRDefault="006F2C84" w:rsidP="006F2C84">
      <w:pPr>
        <w:numPr>
          <w:ilvl w:val="0"/>
          <w:numId w:val="20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odmówił udziału w procesie wyboru LSR bez uzasadnionych przyczyn;</w:t>
      </w:r>
    </w:p>
    <w:p w:rsidR="006F2C84" w:rsidRDefault="006F2C84" w:rsidP="006F2C84">
      <w:pPr>
        <w:numPr>
          <w:ilvl w:val="0"/>
          <w:numId w:val="20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wycofał swoją zgodę na umieszczenie i przetwarzanie danych osobowych w Wykazie kandydatów na ekspertów;</w:t>
      </w:r>
    </w:p>
    <w:p w:rsidR="006F2C84" w:rsidRDefault="006F2C84" w:rsidP="006F2C84">
      <w:pPr>
        <w:numPr>
          <w:ilvl w:val="0"/>
          <w:numId w:val="20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zmarł.</w:t>
      </w:r>
    </w:p>
    <w:p w:rsidR="006F2C84" w:rsidRDefault="006F2C84" w:rsidP="006F2C84">
      <w:pPr>
        <w:numPr>
          <w:ilvl w:val="0"/>
          <w:numId w:val="19"/>
        </w:numPr>
        <w:tabs>
          <w:tab w:val="num" w:pos="284"/>
        </w:tabs>
        <w:suppressAutoHyphens/>
        <w:spacing w:before="0" w:line="276" w:lineRule="auto"/>
        <w:ind w:left="36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>IP może podjąć decyzje o wykreśleniu kandydata na eksperta z Wykazu w przypadku:</w:t>
      </w:r>
    </w:p>
    <w:p w:rsidR="006F2C84" w:rsidRDefault="006F2C84" w:rsidP="006F2C84">
      <w:pPr>
        <w:numPr>
          <w:ilvl w:val="0"/>
          <w:numId w:val="21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gdy ekspert nie brał udziału w co najmniej połowie obowiązkowych spotkań/posiedzeń Komisji </w:t>
      </w:r>
      <w:r>
        <w:rPr>
          <w:rFonts w:ascii="Arial" w:eastAsia="Times New Roman" w:hAnsi="Arial" w:cs="Arial"/>
          <w:lang w:eastAsia="ar-SA"/>
        </w:rPr>
        <w:t>ds. wyboru strategii rozwoju lokalnego kierowanego przez społeczność</w:t>
      </w:r>
      <w:r>
        <w:rPr>
          <w:rFonts w:ascii="Arial" w:eastAsia="Times New Roman" w:hAnsi="Arial" w:cs="Arial"/>
          <w:bCs/>
          <w:lang w:eastAsia="ar-SA"/>
        </w:rPr>
        <w:t xml:space="preserve"> organizowanych przez IP;</w:t>
      </w:r>
    </w:p>
    <w:p w:rsidR="006F2C84" w:rsidRDefault="006F2C84" w:rsidP="006F2C84">
      <w:pPr>
        <w:numPr>
          <w:ilvl w:val="0"/>
          <w:numId w:val="21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naruszenia wyznaczonych terminów oceny LSR oraz warunków prawidłowo wykonanej oceny, a w szczególności naruszeń Regulaminu konkursu na wybór strategii rozwoju lokalnego kierowanego przez społeczność lub dokonywania oceny niezgodnie </w:t>
      </w:r>
      <w:r>
        <w:rPr>
          <w:rFonts w:ascii="Arial" w:eastAsia="Times New Roman" w:hAnsi="Arial" w:cs="Arial"/>
          <w:bCs/>
          <w:lang w:eastAsia="ar-SA"/>
        </w:rPr>
        <w:br/>
        <w:t>z obowiązującymi przepisami prawa,  oraz z przyjętymi kryteriami oceny;</w:t>
      </w:r>
    </w:p>
    <w:p w:rsidR="006F2C84" w:rsidRDefault="006F2C84" w:rsidP="006F2C84">
      <w:pPr>
        <w:numPr>
          <w:ilvl w:val="0"/>
          <w:numId w:val="21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uzyskania informacji o naruszeniu zasad rzetelnej i bezstronnej oceny przez eksperta;</w:t>
      </w:r>
    </w:p>
    <w:p w:rsidR="006F2C84" w:rsidRDefault="006F2C84" w:rsidP="006F2C84">
      <w:pPr>
        <w:numPr>
          <w:ilvl w:val="0"/>
          <w:numId w:val="21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wystąpienia innych przesłanek uniemożliwiających współpracę w procesie wyboru LSR z innymi członkami Komisji </w:t>
      </w:r>
      <w:r>
        <w:rPr>
          <w:rFonts w:ascii="Arial" w:eastAsia="Times New Roman" w:hAnsi="Arial" w:cs="Arial"/>
          <w:lang w:eastAsia="ar-SA"/>
        </w:rPr>
        <w:t xml:space="preserve">ds. wyboru strategii rozwoju lokalnego kierowanego przez społeczność </w:t>
      </w:r>
      <w:r>
        <w:rPr>
          <w:rFonts w:ascii="Arial" w:eastAsia="Times New Roman" w:hAnsi="Arial" w:cs="Arial"/>
          <w:bCs/>
          <w:lang w:eastAsia="ar-SA"/>
        </w:rPr>
        <w:t>oraz pracownikami ŚBRR.</w:t>
      </w:r>
    </w:p>
    <w:p w:rsidR="006F2C84" w:rsidRDefault="006F2C84" w:rsidP="006F2C84">
      <w:pPr>
        <w:tabs>
          <w:tab w:val="left" w:pos="1080"/>
        </w:tabs>
        <w:suppressAutoHyphens/>
        <w:spacing w:before="0"/>
        <w:ind w:left="283"/>
        <w:rPr>
          <w:rFonts w:ascii="Arial" w:eastAsia="Times New Roman" w:hAnsi="Arial" w:cs="Arial"/>
          <w:bCs/>
          <w:lang w:eastAsia="ar-SA"/>
        </w:rPr>
      </w:pPr>
    </w:p>
    <w:p w:rsidR="006F2C84" w:rsidRDefault="006F2C84" w:rsidP="006F2C84">
      <w:pPr>
        <w:tabs>
          <w:tab w:val="left" w:pos="1080"/>
        </w:tabs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13</w:t>
      </w:r>
    </w:p>
    <w:p w:rsidR="006F2C84" w:rsidRDefault="006F2C84" w:rsidP="006F2C84">
      <w:pPr>
        <w:suppressAutoHyphens/>
        <w:spacing w:before="0"/>
        <w:ind w:left="283"/>
        <w:rPr>
          <w:rFonts w:ascii="Arial" w:eastAsia="Times New Roman" w:hAnsi="Arial" w:cs="Arial"/>
          <w:bCs/>
          <w:lang w:eastAsia="ar-SA"/>
        </w:rPr>
      </w:pPr>
    </w:p>
    <w:p w:rsidR="006F2C84" w:rsidRDefault="006F2C84" w:rsidP="006F2C84">
      <w:pPr>
        <w:numPr>
          <w:ilvl w:val="0"/>
          <w:numId w:val="22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Kandydat na eksperta zostaje niezwłocznie powiadomiony o skreśleniu z Wykazu kandydatów na ekspertów wraz z podaniem przyczyny oraz daty skreślenia. Powyższa informacja zostanie przesłana na adres poczty elektronicznej wskazany we wniosku </w:t>
      </w:r>
      <w:r>
        <w:rPr>
          <w:rFonts w:ascii="Arial" w:eastAsia="Times New Roman" w:hAnsi="Arial" w:cs="Arial"/>
          <w:bCs/>
          <w:lang w:eastAsia="ar-SA"/>
        </w:rPr>
        <w:br/>
        <w:t>o którym mowa § 7 ust. 2 pkt 3.</w:t>
      </w:r>
    </w:p>
    <w:p w:rsidR="006F2C84" w:rsidRDefault="006F2C84" w:rsidP="006F2C84">
      <w:pPr>
        <w:numPr>
          <w:ilvl w:val="0"/>
          <w:numId w:val="22"/>
        </w:num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Decyzja o wykreśleniu kandydata na eksperta z Wykazu kandydatów na ekspertów jest ostateczna </w:t>
      </w:r>
      <w:r>
        <w:rPr>
          <w:rFonts w:ascii="Arial" w:eastAsia="Times New Roman" w:hAnsi="Arial" w:cs="Arial"/>
          <w:lang w:eastAsia="ar-SA"/>
        </w:rPr>
        <w:t>i nie przysługuje od niej odwołanie.</w:t>
      </w:r>
    </w:p>
    <w:p w:rsidR="006F2C84" w:rsidRDefault="006F2C84" w:rsidP="006F2C84">
      <w:pPr>
        <w:suppressAutoHyphens/>
        <w:spacing w:before="0"/>
        <w:rPr>
          <w:rFonts w:ascii="Arial" w:eastAsia="Times New Roman" w:hAnsi="Arial" w:cs="Arial"/>
          <w:bCs/>
          <w:lang w:eastAsia="ar-SA"/>
        </w:rPr>
      </w:pPr>
    </w:p>
    <w:p w:rsidR="006F2C84" w:rsidRDefault="006F2C84" w:rsidP="006F2C84">
      <w:pPr>
        <w:suppressAutoHyphens/>
        <w:spacing w:before="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14</w:t>
      </w:r>
    </w:p>
    <w:p w:rsidR="006F2C84" w:rsidRDefault="006F2C84" w:rsidP="006F2C84">
      <w:pPr>
        <w:suppressAutoHyphens/>
        <w:spacing w:before="0"/>
        <w:ind w:left="283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6F2C84" w:rsidRDefault="006F2C8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Uzupełnienie Wykazu kandydatów na ekspertów następuje poprzez przeprowadzenie ponownego naboru/naboru uzupełniającego.</w:t>
      </w:r>
    </w:p>
    <w:p w:rsidR="006F2C84" w:rsidRDefault="006F2C8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6F2C84" w:rsidRDefault="006F2C8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6F2C84" w:rsidRDefault="006F2C8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EE320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6F2C84" w:rsidRDefault="006F2C8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6F2C84" w:rsidRDefault="006F2C84" w:rsidP="006F2C84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4C65E5" w:rsidRDefault="004C65E5" w:rsidP="004C65E5">
      <w:pPr>
        <w:suppressAutoHyphens/>
        <w:spacing w:before="0" w:line="276" w:lineRule="auto"/>
        <w:rPr>
          <w:rFonts w:ascii="Arial" w:eastAsia="Times New Roman" w:hAnsi="Arial" w:cs="Arial"/>
          <w:bCs/>
          <w:lang w:eastAsia="ar-SA"/>
        </w:rPr>
      </w:pPr>
    </w:p>
    <w:p w:rsidR="00EE3204" w:rsidRDefault="004C65E5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    </w:t>
      </w:r>
    </w:p>
    <w:p w:rsidR="00EE3204" w:rsidRDefault="00EE3204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EE3204" w:rsidRDefault="00EE3204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EE3204" w:rsidRDefault="00EE3204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EE3204" w:rsidRDefault="00EE3204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sectPr w:rsidR="00EE3204" w:rsidSect="00EE32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00" w:rsidRDefault="00A53400" w:rsidP="004C65E5">
      <w:pPr>
        <w:spacing w:before="0"/>
      </w:pPr>
      <w:r>
        <w:separator/>
      </w:r>
    </w:p>
  </w:endnote>
  <w:endnote w:type="continuationSeparator" w:id="0">
    <w:p w:rsidR="00A53400" w:rsidRDefault="00A53400" w:rsidP="004C65E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00" w:rsidRDefault="00A53400" w:rsidP="004C65E5">
      <w:pPr>
        <w:spacing w:before="0"/>
      </w:pPr>
      <w:r>
        <w:separator/>
      </w:r>
    </w:p>
  </w:footnote>
  <w:footnote w:type="continuationSeparator" w:id="0">
    <w:p w:rsidR="00A53400" w:rsidRDefault="00A53400" w:rsidP="004C65E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2" w15:restartNumberingAfterBreak="0">
    <w:nsid w:val="00000009"/>
    <w:multiLevelType w:val="multilevel"/>
    <w:tmpl w:val="4A003E9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C7D0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F"/>
    <w:multiLevelType w:val="multilevel"/>
    <w:tmpl w:val="073CDE4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157"/>
        </w:tabs>
        <w:ind w:left="1157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4C0564C"/>
    <w:multiLevelType w:val="hybridMultilevel"/>
    <w:tmpl w:val="07CA4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05128D"/>
    <w:multiLevelType w:val="hybridMultilevel"/>
    <w:tmpl w:val="EEE2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F5D6F"/>
    <w:multiLevelType w:val="hybridMultilevel"/>
    <w:tmpl w:val="66E6F5C4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066BE"/>
    <w:multiLevelType w:val="hybridMultilevel"/>
    <w:tmpl w:val="AF68B3AE"/>
    <w:lvl w:ilvl="0" w:tplc="480C6EAC">
      <w:start w:val="1"/>
      <w:numFmt w:val="decimal"/>
      <w:lvlText w:val="%1)"/>
      <w:lvlJc w:val="left"/>
      <w:pPr>
        <w:ind w:left="1140" w:hanging="360"/>
      </w:pPr>
      <w:rPr>
        <w:rFonts w:cs="Symbol"/>
        <w:b w:val="0"/>
        <w:szCs w:val="2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54E6DA0"/>
    <w:multiLevelType w:val="hybridMultilevel"/>
    <w:tmpl w:val="AD3E9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46231"/>
    <w:multiLevelType w:val="hybridMultilevel"/>
    <w:tmpl w:val="868883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F712B"/>
    <w:multiLevelType w:val="hybridMultilevel"/>
    <w:tmpl w:val="CAF25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E04C8"/>
    <w:multiLevelType w:val="hybridMultilevel"/>
    <w:tmpl w:val="176AAD50"/>
    <w:lvl w:ilvl="0" w:tplc="E140F2C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372A0F"/>
    <w:multiLevelType w:val="hybridMultilevel"/>
    <w:tmpl w:val="84D2CA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105492"/>
    <w:multiLevelType w:val="hybridMultilevel"/>
    <w:tmpl w:val="3E5C9E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8A57900"/>
    <w:multiLevelType w:val="hybridMultilevel"/>
    <w:tmpl w:val="86249F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4E66AE"/>
    <w:multiLevelType w:val="hybridMultilevel"/>
    <w:tmpl w:val="EF845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33223"/>
    <w:multiLevelType w:val="hybridMultilevel"/>
    <w:tmpl w:val="66F088D6"/>
    <w:lvl w:ilvl="0" w:tplc="04150011">
      <w:start w:val="1"/>
      <w:numFmt w:val="decimal"/>
      <w:lvlText w:val="%1)"/>
      <w:lvlJc w:val="left"/>
      <w:pPr>
        <w:tabs>
          <w:tab w:val="num" w:pos="355"/>
        </w:tabs>
        <w:ind w:left="350" w:hanging="369"/>
      </w:pPr>
    </w:lvl>
    <w:lvl w:ilvl="1" w:tplc="04150019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21" w15:restartNumberingAfterBreak="0">
    <w:nsid w:val="61387324"/>
    <w:multiLevelType w:val="hybridMultilevel"/>
    <w:tmpl w:val="121E6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A65"/>
    <w:multiLevelType w:val="hybridMultilevel"/>
    <w:tmpl w:val="1E56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C00A5"/>
    <w:multiLevelType w:val="hybridMultilevel"/>
    <w:tmpl w:val="ED9E8C84"/>
    <w:name w:val="WW8Num72"/>
    <w:lvl w:ilvl="0" w:tplc="70FCD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84"/>
    <w:rsid w:val="00002EA5"/>
    <w:rsid w:val="0015139B"/>
    <w:rsid w:val="001903A3"/>
    <w:rsid w:val="00447702"/>
    <w:rsid w:val="004C65E5"/>
    <w:rsid w:val="00525F93"/>
    <w:rsid w:val="006266E0"/>
    <w:rsid w:val="00653B5D"/>
    <w:rsid w:val="006F2C84"/>
    <w:rsid w:val="008A3486"/>
    <w:rsid w:val="008C0B28"/>
    <w:rsid w:val="008D42A7"/>
    <w:rsid w:val="0090197A"/>
    <w:rsid w:val="009B0AA0"/>
    <w:rsid w:val="00A41427"/>
    <w:rsid w:val="00A53400"/>
    <w:rsid w:val="00AD4EA2"/>
    <w:rsid w:val="00C8044C"/>
    <w:rsid w:val="00CC05E0"/>
    <w:rsid w:val="00D21236"/>
    <w:rsid w:val="00DB344A"/>
    <w:rsid w:val="00DB4F4D"/>
    <w:rsid w:val="00DF32E7"/>
    <w:rsid w:val="00E829CB"/>
    <w:rsid w:val="00EC7808"/>
    <w:rsid w:val="00EE3204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0FD38-4E28-48C6-A999-BD98013B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C84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F2C84"/>
    <w:pPr>
      <w:spacing w:before="0" w:line="36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6F2C84"/>
    <w:rPr>
      <w:rFonts w:ascii="Arial" w:eastAsia="Times New Roman" w:hAnsi="Arial" w:cs="Arial"/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6F2C84"/>
    <w:pPr>
      <w:spacing w:before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2C84"/>
    <w:rPr>
      <w:rFonts w:ascii="Arial" w:eastAsia="Times New Roman" w:hAnsi="Arial" w:cs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F2C8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65E5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65E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5E5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5E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dolnego">
    <w:name w:val="footnote reference"/>
    <w:semiHidden/>
    <w:unhideWhenUsed/>
    <w:rsid w:val="004C65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5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5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irmoc\Desktop\EKSPERCI%20DO%20WYBORU%20LSR\PROJEKT%20Regulaminu%20naboru%20kandydatow%20na%20ekspertow%20MA&#321;OPOLSKA.doc" TargetMode="External"/><Relationship Id="rId13" Type="http://schemas.openxmlformats.org/officeDocument/2006/relationships/hyperlink" Target="http://www.sbrr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irmoc\Desktop\EKSPERCI%20DO%20WYBORU%20LSR\PROJEKT%20Regulaminu%20naboru%20kandydatow%20na%20ekspertow%20MA&#321;OPOLSKA.doc" TargetMode="External"/><Relationship Id="rId12" Type="http://schemas.openxmlformats.org/officeDocument/2006/relationships/hyperlink" Target="file:///C:\Users\mirmoc\Desktop\EKSPERCI%20DO%20WYBORU%20LSR\PROJEKT%20Regulaminu%20naboru%20kandydatow%20na%20ekspertow%20MA&#321;OPOLSKA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irmoc\Desktop\EKSPERCI%20DO%20WYBORU%20LSR\PROJEKT%20Regulaminu%20naboru%20kandydatow%20na%20ekspertow%20MA&#321;OPOLSKA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mirmoc\Desktop\EKSPERCI%20DO%20WYBORU%20LSR\PROJEKT%20Regulaminu%20naboru%20kandydatow%20na%20ekspertow%20MA&#321;OPOLSK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irmoc\Desktop\EKSPERCI%20DO%20WYBORU%20LSR\PROJEKT%20Regulaminu%20naboru%20kandydatow%20na%20ekspertow%20MA&#321;OPOLSKA.doc" TargetMode="External"/><Relationship Id="rId14" Type="http://schemas.openxmlformats.org/officeDocument/2006/relationships/hyperlink" Target="http://www.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3147</Words>
  <Characters>18886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PROW SBRR</cp:lastModifiedBy>
  <cp:revision>2</cp:revision>
  <cp:lastPrinted>2015-11-20T09:13:00Z</cp:lastPrinted>
  <dcterms:created xsi:type="dcterms:W3CDTF">2015-11-24T11:46:00Z</dcterms:created>
  <dcterms:modified xsi:type="dcterms:W3CDTF">2015-11-24T11:46:00Z</dcterms:modified>
</cp:coreProperties>
</file>